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2024年粉尘涉爆治理评分标准</w:t>
      </w:r>
    </w:p>
    <w:p>
      <w:pPr>
        <w:pStyle w:val="5"/>
      </w:pPr>
    </w:p>
    <w:tbl>
      <w:tblPr>
        <w:tblStyle w:val="6"/>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85"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60</w:t>
            </w:r>
            <w:r>
              <w:rPr>
                <w:rFonts w:hint="eastAsia" w:ascii="宋体" w:hAnsi="宋体" w:cs="宋体"/>
                <w:kern w:val="1"/>
                <w:szCs w:val="21"/>
              </w:rPr>
              <w:t>分</w:t>
            </w:r>
          </w:p>
        </w:tc>
        <w:tc>
          <w:tcPr>
            <w:tcW w:w="6192" w:type="dxa"/>
            <w:noWrap w:val="0"/>
            <w:vAlign w:val="center"/>
          </w:tcPr>
          <w:p>
            <w:pPr>
              <w:pStyle w:val="2"/>
              <w:rPr>
                <w:rFonts w:hint="eastAsia" w:ascii="宋体" w:hAnsi="宋体" w:cs="宋体" w:eastAsiaTheme="minorEastAsia"/>
                <w:color w:val="auto"/>
                <w:kern w:val="1"/>
                <w:sz w:val="21"/>
                <w:szCs w:val="21"/>
                <w:lang w:val="en-US" w:eastAsia="zh-CN" w:bidi="ar-SA"/>
              </w:rPr>
            </w:pPr>
            <w:r>
              <w:rPr>
                <w:rFonts w:hint="eastAsia" w:ascii="宋体" w:hAnsi="宋体" w:cs="宋体" w:eastAsiaTheme="minorEastAsia"/>
                <w:color w:val="auto"/>
                <w:kern w:val="1"/>
                <w:sz w:val="21"/>
                <w:szCs w:val="21"/>
                <w:lang w:val="en-US" w:eastAsia="zh-CN" w:bidi="ar-SA"/>
              </w:rPr>
              <w:t>满足本项目服务要求文件的各投标人最终投标价的算术平均值为基准价，基准分60分；</w:t>
            </w:r>
          </w:p>
          <w:p>
            <w:pPr>
              <w:pStyle w:val="2"/>
              <w:rPr>
                <w:rFonts w:hint="eastAsia" w:ascii="宋体" w:hAnsi="宋体" w:cs="宋体"/>
                <w:kern w:val="1"/>
                <w:szCs w:val="21"/>
              </w:rPr>
            </w:pPr>
            <w:r>
              <w:rPr>
                <w:rFonts w:hint="eastAsia" w:ascii="宋体" w:hAnsi="宋体" w:cs="宋体" w:eastAsiaTheme="minorEastAsia"/>
                <w:color w:val="auto"/>
                <w:kern w:val="1"/>
                <w:sz w:val="21"/>
                <w:szCs w:val="21"/>
                <w:lang w:val="en-US" w:eastAsia="zh-CN" w:bidi="ar-SA"/>
              </w:rPr>
              <w:t>每比基准价高1%扣1分，最多扣10分；每次基准价低1%扣0.5分，最多扣10分。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589"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0"/>
                <w:szCs w:val="21"/>
                <w:lang w:eastAsia="zh-CN"/>
              </w:rPr>
              <w:t>粉尘涉爆治理</w:t>
            </w:r>
            <w:r>
              <w:rPr>
                <w:rFonts w:hint="eastAsia" w:ascii="宋体" w:hAnsi="宋体" w:cs="宋体"/>
                <w:kern w:val="0"/>
                <w:szCs w:val="21"/>
              </w:rPr>
              <w:t>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30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根据公司提供的整改项目，对投标人提供的治理方案进行评比，主要从治理方案的合规性、全面性、安全性、可操作性进行综合评比，第一名得30分，第二名得20分，第三名得10分，可并列得分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627" w:hRule="atLeast"/>
        </w:trPr>
        <w:tc>
          <w:tcPr>
            <w:tcW w:w="900" w:type="dxa"/>
            <w:noWrap w:val="0"/>
            <w:tcMar>
              <w:left w:w="108" w:type="dxa"/>
              <w:right w:w="108" w:type="dxa"/>
            </w:tcMar>
            <w:vAlign w:val="center"/>
          </w:tcPr>
          <w:p>
            <w:pPr>
              <w:spacing w:line="360" w:lineRule="auto"/>
              <w:jc w:val="center"/>
              <w:rPr>
                <w:rFonts w:hint="default" w:ascii="宋体" w:hAnsi="宋体" w:cs="宋体"/>
                <w:kern w:val="1"/>
                <w:szCs w:val="21"/>
                <w:lang w:val="en-US"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0"/>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default" w:ascii="宋体" w:hAnsi="宋体" w:cs="宋体"/>
                <w:kern w:val="1"/>
                <w:szCs w:val="21"/>
                <w:lang w:val="en-US" w:eastAsia="zh-CN"/>
              </w:rPr>
            </w:pPr>
            <w:r>
              <w:rPr>
                <w:rFonts w:hint="eastAsia" w:ascii="宋体" w:hAnsi="宋体" w:cs="宋体"/>
                <w:kern w:val="1"/>
                <w:szCs w:val="21"/>
                <w:lang w:val="en-US" w:eastAsia="zh-CN"/>
              </w:rPr>
              <w:t>10</w:t>
            </w:r>
          </w:p>
        </w:tc>
        <w:tc>
          <w:tcPr>
            <w:tcW w:w="6192" w:type="dxa"/>
            <w:noWrap w:val="0"/>
            <w:vAlign w:val="center"/>
          </w:tcPr>
          <w:p>
            <w:pPr>
              <w:spacing w:line="360" w:lineRule="auto"/>
              <w:ind w:firstLine="420" w:firstLineChars="200"/>
              <w:jc w:val="left"/>
              <w:rPr>
                <w:rFonts w:hint="eastAsia" w:ascii="宋体" w:hAnsi="宋体" w:cs="宋体"/>
                <w:kern w:val="1"/>
                <w:szCs w:val="21"/>
                <w:lang w:val="en-US" w:eastAsia="zh-CN"/>
              </w:rPr>
            </w:pPr>
            <w:r>
              <w:rPr>
                <w:rFonts w:hint="eastAsia" w:ascii="宋体" w:hAnsi="宋体" w:cs="宋体"/>
                <w:kern w:val="1"/>
                <w:szCs w:val="21"/>
                <w:lang w:val="en-US" w:eastAsia="zh-CN"/>
              </w:rPr>
              <w:t>投标人从2020年至今，开展食品行业粉尘爆炸事故隐患治理方案编制及防爆设备设施供应安装的业绩不少于两家（提供合同复印件），每多提供1个得5分，最多得10分。</w:t>
            </w:r>
          </w:p>
          <w:p>
            <w:pPr>
              <w:spacing w:line="360" w:lineRule="auto"/>
              <w:jc w:val="left"/>
              <w:rPr>
                <w:rFonts w:hint="eastAsia" w:ascii="宋体" w:hAnsi="宋体" w:cs="宋体"/>
                <w:kern w:val="0"/>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5"/>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 w:name="KSO_WPS_MARK_KEY" w:val="501f3ed9-f615-4734-9628-de546cb8cf6a"/>
  </w:docVars>
  <w:rsids>
    <w:rsidRoot w:val="42DD78C9"/>
    <w:rsid w:val="01101675"/>
    <w:rsid w:val="056D0DFF"/>
    <w:rsid w:val="100A5B41"/>
    <w:rsid w:val="18FF089C"/>
    <w:rsid w:val="195C786A"/>
    <w:rsid w:val="195D67D0"/>
    <w:rsid w:val="1F114BF6"/>
    <w:rsid w:val="21543271"/>
    <w:rsid w:val="2CC6515A"/>
    <w:rsid w:val="3C2635F7"/>
    <w:rsid w:val="3FA1450D"/>
    <w:rsid w:val="401B7113"/>
    <w:rsid w:val="42DD78C9"/>
    <w:rsid w:val="458C785C"/>
    <w:rsid w:val="63396D50"/>
    <w:rsid w:val="72C53632"/>
    <w:rsid w:val="789C36D4"/>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next w:val="4"/>
    <w:autoRedefine/>
    <w:qFormat/>
    <w:uiPriority w:val="0"/>
    <w:pPr>
      <w:spacing w:after="120"/>
    </w:pPr>
    <w:rPr>
      <w:szCs w:val="20"/>
    </w:rPr>
  </w:style>
  <w:style w:type="paragraph" w:styleId="4">
    <w:name w:val="Subtitle"/>
    <w:basedOn w:val="1"/>
    <w:next w:val="1"/>
    <w:autoRedefine/>
    <w:qFormat/>
    <w:uiPriority w:val="0"/>
    <w:pPr>
      <w:spacing w:line="312" w:lineRule="auto"/>
      <w:jc w:val="left"/>
      <w:outlineLvl w:val="1"/>
    </w:pPr>
    <w:rPr>
      <w:rFonts w:ascii="Cambria" w:hAnsi="Cambria"/>
      <w:b/>
      <w:bCs/>
      <w:kern w:val="28"/>
      <w:sz w:val="21"/>
      <w:szCs w:val="32"/>
    </w:rPr>
  </w:style>
  <w:style w:type="paragraph" w:styleId="5">
    <w:name w:val="Plain Text"/>
    <w:basedOn w:val="1"/>
    <w:autoRedefine/>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309</Characters>
  <Lines>0</Lines>
  <Paragraphs>0</Paragraphs>
  <TotalTime>5</TotalTime>
  <ScaleCrop>false</ScaleCrop>
  <LinksUpToDate>false</LinksUpToDate>
  <CharactersWithSpaces>316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2024-03-21T01:05:21Z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2E145C2E9C9345B4A98ABD2AA4941C71</vt:lpwstr>
  </property>
</Properties>
</file>