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2024年产品包装年度设计采购项目</w:t>
      </w:r>
    </w:p>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732"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pPr>
              <w:spacing w:line="360" w:lineRule="auto"/>
              <w:ind w:firstLine="420" w:firstLineChars="200"/>
              <w:jc w:val="left"/>
              <w:rPr>
                <w:rFonts w:hint="eastAsia" w:ascii="宋体" w:hAnsi="宋体" w:cs="宋体"/>
                <w:kern w:val="1"/>
                <w:szCs w:val="21"/>
                <w:lang w:val="en-US" w:eastAsia="zh-CN"/>
              </w:rPr>
            </w:pPr>
            <w:r>
              <w:rPr>
                <w:rFonts w:hint="eastAsia" w:ascii="宋体" w:hAnsi="宋体" w:cs="宋体"/>
                <w:kern w:val="1"/>
                <w:szCs w:val="21"/>
                <w:lang w:val="en-US" w:eastAsia="zh-CN"/>
              </w:rPr>
              <w:t>1、满足本项目服务要求文件的各投标人最终投标价的算术平均值为基准价，基准分50分。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2、投标报价与基准价相比，每高1%扣1分，最多扣10分；每低1%扣0.5分，最高扣10分，不足1%的按四舍五入计算。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28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2</w:t>
            </w:r>
          </w:p>
        </w:tc>
        <w:tc>
          <w:tcPr>
            <w:tcW w:w="1545" w:type="dxa"/>
            <w:noWrap w:val="0"/>
            <w:vAlign w:val="center"/>
          </w:tcPr>
          <w:p>
            <w:pPr>
              <w:spacing w:line="360" w:lineRule="auto"/>
              <w:jc w:val="center"/>
              <w:rPr>
                <w:rFonts w:hint="eastAsia" w:ascii="宋体" w:hAnsi="宋体" w:cs="宋体"/>
                <w:kern w:val="1"/>
                <w:szCs w:val="21"/>
                <w:lang w:eastAsia="zh-CN"/>
              </w:rPr>
            </w:pPr>
            <w:r>
              <w:rPr>
                <w:rFonts w:hint="eastAsia" w:ascii="宋体" w:hAnsi="宋体" w:cs="宋体"/>
                <w:kern w:val="1"/>
                <w:szCs w:val="21"/>
                <w:lang w:val="en-US" w:eastAsia="zh-CN"/>
              </w:rPr>
              <w:t>设计方案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lang w:eastAsia="zh-CN"/>
              </w:rPr>
            </w:pPr>
            <w:r>
              <w:rPr>
                <w:rFonts w:hint="eastAsia"/>
              </w:rPr>
              <w:t>对</w:t>
            </w:r>
            <w:r>
              <w:rPr>
                <w:rFonts w:hint="eastAsia"/>
                <w:lang w:val="en-US" w:eastAsia="zh-CN"/>
              </w:rPr>
              <w:t>投标人</w:t>
            </w:r>
            <w:r>
              <w:rPr>
                <w:rFonts w:hint="eastAsia"/>
                <w:lang w:eastAsia="zh-CN"/>
              </w:rPr>
              <w:t>的设计</w:t>
            </w:r>
            <w:r>
              <w:rPr>
                <w:rFonts w:hint="eastAsia"/>
                <w:lang w:val="en-US" w:eastAsia="zh-CN"/>
              </w:rPr>
              <w:t>方案</w:t>
            </w:r>
            <w:r>
              <w:rPr>
                <w:rFonts w:hint="eastAsia"/>
              </w:rPr>
              <w:t>（</w:t>
            </w:r>
            <w:r>
              <w:rPr>
                <w:rFonts w:hint="eastAsia"/>
                <w:lang w:val="en-US" w:eastAsia="zh-CN"/>
              </w:rPr>
              <w:t>豆瓣蘸料包装设计的</w:t>
            </w:r>
            <w:r>
              <w:rPr>
                <w:rFonts w:hint="eastAsia"/>
              </w:rPr>
              <w:t>设计结构</w:t>
            </w:r>
            <w:r>
              <w:rPr>
                <w:rFonts w:hint="eastAsia"/>
                <w:lang w:eastAsia="zh-CN"/>
              </w:rPr>
              <w:t>、</w:t>
            </w:r>
            <w:r>
              <w:rPr>
                <w:rFonts w:hint="eastAsia"/>
              </w:rPr>
              <w:t>概括力</w:t>
            </w:r>
            <w:r>
              <w:rPr>
                <w:rFonts w:hint="eastAsia"/>
                <w:lang w:eastAsia="zh-CN"/>
              </w:rPr>
              <w:t>、可操作性、</w:t>
            </w:r>
            <w:r>
              <w:rPr>
                <w:rFonts w:hint="eastAsia"/>
              </w:rPr>
              <w:t>设计释义</w:t>
            </w:r>
            <w:r>
              <w:rPr>
                <w:rFonts w:hint="eastAsia"/>
                <w:lang w:eastAsia="zh-CN"/>
              </w:rPr>
              <w:t>、</w:t>
            </w:r>
            <w:r>
              <w:rPr>
                <w:rFonts w:hint="eastAsia"/>
                <w:lang w:val="en-US" w:eastAsia="zh-CN"/>
              </w:rPr>
              <w:t>设计风格与消费者偏好关联性）</w:t>
            </w:r>
            <w:r>
              <w:rPr>
                <w:rFonts w:hint="eastAsia"/>
              </w:rPr>
              <w:t>进行综合比较评分</w:t>
            </w:r>
            <w:r>
              <w:rPr>
                <w:rFonts w:hint="eastAsia"/>
                <w:lang w:eastAsia="zh-CN"/>
              </w:rPr>
              <w:t>，</w:t>
            </w:r>
            <w:r>
              <w:rPr>
                <w:rFonts w:hint="eastAsia"/>
              </w:rPr>
              <w:t>第一名得</w:t>
            </w:r>
            <w:r>
              <w:rPr>
                <w:rFonts w:hint="eastAsia"/>
                <w:lang w:val="en-US" w:eastAsia="zh-CN"/>
              </w:rPr>
              <w:t>40</w:t>
            </w:r>
            <w:r>
              <w:rPr>
                <w:rFonts w:hint="eastAsia"/>
              </w:rPr>
              <w:t>分，第二名得</w:t>
            </w:r>
            <w:r>
              <w:rPr>
                <w:rFonts w:hint="eastAsia"/>
                <w:lang w:val="en-US" w:eastAsia="zh-CN"/>
              </w:rPr>
              <w:t>30</w:t>
            </w:r>
            <w:r>
              <w:rPr>
                <w:rFonts w:hint="eastAsia"/>
              </w:rPr>
              <w:t>分，第三名得</w:t>
            </w:r>
            <w:r>
              <w:rPr>
                <w:rFonts w:hint="eastAsia"/>
                <w:lang w:val="en-US" w:eastAsia="zh-CN"/>
              </w:rPr>
              <w:t>20</w:t>
            </w:r>
            <w:r>
              <w:rPr>
                <w:rFonts w:hint="eastAsia"/>
              </w:rPr>
              <w:t>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w:t>
            </w:r>
            <w:r>
              <w:rPr>
                <w:rFonts w:hint="eastAsia" w:ascii="宋体" w:hAnsi="宋体" w:cs="宋体"/>
                <w:kern w:val="1"/>
                <w:szCs w:val="21"/>
                <w:lang w:val="en-US" w:eastAsia="zh-CN"/>
              </w:rPr>
              <w:t>20</w:t>
            </w:r>
            <w:r>
              <w:rPr>
                <w:rFonts w:hint="eastAsia" w:ascii="宋体" w:hAnsi="宋体" w:cs="宋体"/>
                <w:kern w:val="1"/>
                <w:szCs w:val="21"/>
              </w:rPr>
              <w:t>年以来，具有</w:t>
            </w:r>
            <w:r>
              <w:rPr>
                <w:rFonts w:hint="eastAsia" w:ascii="宋体" w:hAnsi="宋体" w:cs="宋体"/>
                <w:kern w:val="1"/>
                <w:szCs w:val="21"/>
                <w:lang w:val="en-US" w:eastAsia="zh-CN"/>
              </w:rPr>
              <w:t>食品行业产品包装成功案例合同不低于三份（复印件）</w:t>
            </w:r>
            <w:r>
              <w:rPr>
                <w:rFonts w:hint="eastAsia" w:ascii="宋体" w:hAnsi="宋体" w:cs="宋体"/>
                <w:kern w:val="1"/>
                <w:szCs w:val="21"/>
              </w:rPr>
              <w:t>每</w:t>
            </w:r>
            <w:r>
              <w:rPr>
                <w:rFonts w:hint="eastAsia" w:ascii="宋体" w:hAnsi="宋体" w:cs="宋体"/>
                <w:kern w:val="1"/>
                <w:szCs w:val="21"/>
                <w:lang w:eastAsia="zh-CN"/>
              </w:rPr>
              <w:t>多</w:t>
            </w:r>
            <w:r>
              <w:rPr>
                <w:rFonts w:hint="eastAsia" w:ascii="宋体" w:hAnsi="宋体" w:cs="宋体"/>
                <w:kern w:val="1"/>
                <w:szCs w:val="21"/>
              </w:rPr>
              <w:t>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bookmarkStart w:id="0" w:name="_GoBack"/>
            <w:bookmarkEnd w:id="0"/>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0EE143CD"/>
    <w:rsid w:val="100A5B41"/>
    <w:rsid w:val="109F552D"/>
    <w:rsid w:val="1F114BF6"/>
    <w:rsid w:val="23FA42E6"/>
    <w:rsid w:val="2CC6515A"/>
    <w:rsid w:val="401B7113"/>
    <w:rsid w:val="42DD78C9"/>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356</Characters>
  <Lines>0</Lines>
  <Paragraphs>0</Paragraphs>
  <TotalTime>0</TotalTime>
  <ScaleCrop>false</ScaleCrop>
  <LinksUpToDate>false</LinksUpToDate>
  <CharactersWithSpaces>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2023-11-29T06:08:42Z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016FF41520EB4EA28D0D7ED47D13655C</vt:lpwstr>
  </property>
</Properties>
</file>