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5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1357"/>
        <w:gridCol w:w="1153"/>
        <w:gridCol w:w="5409"/>
      </w:tblGrid>
      <w:tr w14:paraId="70C12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  <w:jc w:val="center"/>
        </w:trPr>
        <w:tc>
          <w:tcPr>
            <w:tcW w:w="662" w:type="dxa"/>
            <w:vAlign w:val="center"/>
          </w:tcPr>
          <w:p w14:paraId="0DA69696">
            <w:pPr>
              <w:pStyle w:val="6"/>
              <w:spacing w:line="320" w:lineRule="exac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357" w:type="dxa"/>
            <w:vAlign w:val="center"/>
          </w:tcPr>
          <w:p w14:paraId="2EF4C18B">
            <w:pPr>
              <w:pStyle w:val="6"/>
              <w:spacing w:line="320" w:lineRule="exac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评分因素</w:t>
            </w:r>
          </w:p>
        </w:tc>
        <w:tc>
          <w:tcPr>
            <w:tcW w:w="1153" w:type="dxa"/>
            <w:vAlign w:val="center"/>
          </w:tcPr>
          <w:p w14:paraId="02230594">
            <w:pPr>
              <w:pStyle w:val="6"/>
              <w:spacing w:line="320" w:lineRule="exac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分值</w:t>
            </w:r>
          </w:p>
        </w:tc>
        <w:tc>
          <w:tcPr>
            <w:tcW w:w="5409" w:type="dxa"/>
            <w:vAlign w:val="center"/>
          </w:tcPr>
          <w:p w14:paraId="5E721AEF">
            <w:pPr>
              <w:pStyle w:val="6"/>
              <w:spacing w:line="32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评分标准</w:t>
            </w:r>
          </w:p>
        </w:tc>
      </w:tr>
      <w:tr w14:paraId="4D8DE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5" w:hRule="atLeast"/>
          <w:jc w:val="center"/>
        </w:trPr>
        <w:tc>
          <w:tcPr>
            <w:tcW w:w="662" w:type="dxa"/>
            <w:vAlign w:val="center"/>
          </w:tcPr>
          <w:p w14:paraId="49B6604E">
            <w:pPr>
              <w:pStyle w:val="6"/>
              <w:spacing w:line="320" w:lineRule="exac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57" w:type="dxa"/>
            <w:vAlign w:val="center"/>
          </w:tcPr>
          <w:p w14:paraId="0EACD1A9">
            <w:pPr>
              <w:pStyle w:val="6"/>
              <w:spacing w:line="32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报价</w:t>
            </w:r>
          </w:p>
        </w:tc>
        <w:tc>
          <w:tcPr>
            <w:tcW w:w="1153" w:type="dxa"/>
            <w:vAlign w:val="center"/>
          </w:tcPr>
          <w:p w14:paraId="06939299">
            <w:pPr>
              <w:pStyle w:val="6"/>
              <w:spacing w:line="32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>80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分</w:t>
            </w:r>
          </w:p>
        </w:tc>
        <w:tc>
          <w:tcPr>
            <w:tcW w:w="5409" w:type="dxa"/>
            <w:vAlign w:val="center"/>
          </w:tcPr>
          <w:p w14:paraId="63208087">
            <w:pPr>
              <w:pStyle w:val="7"/>
              <w:adjustRightInd w:val="0"/>
              <w:snapToGrid w:val="0"/>
              <w:spacing w:line="320" w:lineRule="exact"/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1、以基准价为准，有效投标的评审价等于基准价的得</w:t>
            </w: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0分。</w:t>
            </w:r>
          </w:p>
          <w:p w14:paraId="4A2A6173">
            <w:pPr>
              <w:pStyle w:val="7"/>
              <w:adjustRightInd w:val="0"/>
              <w:snapToGrid w:val="0"/>
              <w:spacing w:line="320" w:lineRule="exact"/>
              <w:ind w:left="21" w:leftChars="10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2、有效投标的评审价与基准价相比，每高1%扣</w:t>
            </w: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分，最多扣10分；每低1%加0.5分，最多加10分，中间值用插值法计算，小数点后保留两位小数。</w:t>
            </w:r>
          </w:p>
          <w:p w14:paraId="3886C1D5">
            <w:pPr>
              <w:pStyle w:val="7"/>
              <w:adjustRightInd w:val="0"/>
              <w:snapToGrid w:val="0"/>
              <w:spacing w:line="320" w:lineRule="exact"/>
              <w:ind w:left="21" w:leftChars="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3、偏差率计算方式：（投标报价-基准价）/基准价*100%</w:t>
            </w:r>
          </w:p>
        </w:tc>
      </w:tr>
      <w:tr w14:paraId="07410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5" w:hRule="atLeast"/>
          <w:jc w:val="center"/>
        </w:trPr>
        <w:tc>
          <w:tcPr>
            <w:tcW w:w="662" w:type="dxa"/>
            <w:vAlign w:val="center"/>
          </w:tcPr>
          <w:p w14:paraId="703EBC56">
            <w:pPr>
              <w:pStyle w:val="6"/>
              <w:spacing w:line="320" w:lineRule="exac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57" w:type="dxa"/>
            <w:vAlign w:val="center"/>
          </w:tcPr>
          <w:p w14:paraId="5CF3C9D5">
            <w:pPr>
              <w:pStyle w:val="6"/>
              <w:spacing w:line="32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  <w:t>种植及异物控制方案</w:t>
            </w:r>
          </w:p>
        </w:tc>
        <w:tc>
          <w:tcPr>
            <w:tcW w:w="1153" w:type="dxa"/>
            <w:vAlign w:val="center"/>
          </w:tcPr>
          <w:p w14:paraId="2877C863">
            <w:pPr>
              <w:pStyle w:val="6"/>
              <w:spacing w:line="32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分</w:t>
            </w:r>
          </w:p>
        </w:tc>
        <w:tc>
          <w:tcPr>
            <w:tcW w:w="5409" w:type="dxa"/>
            <w:vAlign w:val="center"/>
          </w:tcPr>
          <w:p w14:paraId="72BC539D">
            <w:pPr>
              <w:pStyle w:val="7"/>
              <w:numPr>
                <w:ilvl w:val="0"/>
                <w:numId w:val="0"/>
              </w:numPr>
              <w:adjustRightInd w:val="0"/>
              <w:snapToGrid w:val="0"/>
              <w:spacing w:line="320" w:lineRule="exact"/>
              <w:rPr>
                <w:rFonts w:hint="eastAsia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6FC086C8">
            <w:pPr>
              <w:pStyle w:val="7"/>
              <w:numPr>
                <w:ilvl w:val="0"/>
                <w:numId w:val="0"/>
              </w:numPr>
              <w:adjustRightInd w:val="0"/>
              <w:snapToGrid w:val="0"/>
              <w:spacing w:line="32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eastAsia="宋体" w:cs="宋体"/>
                <w:b/>
                <w:bCs/>
                <w:sz w:val="24"/>
                <w:szCs w:val="24"/>
                <w:lang w:val="en-US" w:eastAsia="zh-CN"/>
              </w:rPr>
              <w:t>1、种植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管理</w:t>
            </w:r>
            <w:r>
              <w:rPr>
                <w:rFonts w:hint="eastAsia" w:eastAsia="宋体" w:cs="宋体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eastAsia="宋体" w:cs="宋体"/>
                <w:b/>
                <w:bCs/>
                <w:sz w:val="24"/>
                <w:szCs w:val="24"/>
                <w:lang w:val="en-US" w:eastAsia="zh-CN"/>
              </w:rPr>
              <w:t>7分</w:t>
            </w:r>
            <w:r>
              <w:rPr>
                <w:rFonts w:hint="eastAsia" w:eastAsia="宋体" w:cs="宋体"/>
                <w:b/>
                <w:bCs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：从育苗、用药、用肥等方面的计划性、规范性</w:t>
            </w: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>以及种植区域、周边环境进行描述，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综合评分：优：方案科学合理、符合采购需求且无缺少的得</w:t>
            </w: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>6-7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分；良：方案合理、基本满足采购需求的得</w:t>
            </w: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>4-5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分；</w:t>
            </w: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>一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般：方案欠妥的得</w:t>
            </w: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>1-3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分；差：方案不合理，不能满足采购需求的得0分。</w:t>
            </w:r>
          </w:p>
          <w:p w14:paraId="04275450">
            <w:pPr>
              <w:pStyle w:val="7"/>
              <w:numPr>
                <w:ilvl w:val="0"/>
                <w:numId w:val="0"/>
              </w:numPr>
              <w:adjustRightInd w:val="0"/>
              <w:snapToGrid w:val="0"/>
              <w:spacing w:line="32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2</w:t>
            </w:r>
            <w:r>
              <w:rPr>
                <w:rFonts w:hint="eastAsia" w:eastAsia="宋体" w:cs="宋体"/>
                <w:b/>
                <w:bCs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采摘</w:t>
            </w:r>
            <w:r>
              <w:rPr>
                <w:rFonts w:hint="eastAsia" w:eastAsia="宋体" w:cs="宋体"/>
                <w:b/>
                <w:bCs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中转装车异物防控管理</w:t>
            </w:r>
            <w:r>
              <w:rPr>
                <w:rFonts w:hint="eastAsia" w:eastAsia="宋体" w:cs="宋体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eastAsia="宋体" w:cs="宋体"/>
                <w:b/>
                <w:bCs/>
                <w:sz w:val="24"/>
                <w:szCs w:val="24"/>
                <w:lang w:val="en-US" w:eastAsia="zh-CN"/>
              </w:rPr>
              <w:t>8分</w:t>
            </w:r>
            <w:r>
              <w:rPr>
                <w:rFonts w:hint="eastAsia" w:eastAsia="宋体" w:cs="宋体"/>
                <w:b/>
                <w:bCs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辣椒采摘、中转场地、装车等过程，对内源性和外源性异物有效的防控措施等方面进行综合评分：优：方案科学合理、符合采购需求且无缺少的得</w:t>
            </w: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>7-8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分；良：方案合理、基本满足采购需求的得</w:t>
            </w: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>4-6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分；一般：方案欠妥的得</w:t>
            </w: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>1-3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分；差：方案不合理，不能满足采购需求的得0分。</w:t>
            </w:r>
          </w:p>
          <w:p w14:paraId="5C958AB4">
            <w:pPr>
              <w:pStyle w:val="7"/>
              <w:adjustRightInd w:val="0"/>
              <w:snapToGrid w:val="0"/>
              <w:spacing w:line="320" w:lineRule="exact"/>
              <w:rPr>
                <w:rFonts w:hint="eastAsia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6C7C2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6" w:hRule="atLeast"/>
          <w:jc w:val="center"/>
        </w:trPr>
        <w:tc>
          <w:tcPr>
            <w:tcW w:w="662" w:type="dxa"/>
            <w:vAlign w:val="center"/>
          </w:tcPr>
          <w:p w14:paraId="28E66CF4">
            <w:pPr>
              <w:pStyle w:val="6"/>
              <w:spacing w:line="320" w:lineRule="exac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357" w:type="dxa"/>
            <w:vAlign w:val="center"/>
          </w:tcPr>
          <w:p w14:paraId="3A3F0AFF">
            <w:pPr>
              <w:pStyle w:val="6"/>
              <w:spacing w:line="320" w:lineRule="exac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绿色证书</w:t>
            </w:r>
          </w:p>
        </w:tc>
        <w:tc>
          <w:tcPr>
            <w:tcW w:w="1153" w:type="dxa"/>
            <w:vAlign w:val="center"/>
          </w:tcPr>
          <w:p w14:paraId="22890814">
            <w:pPr>
              <w:pStyle w:val="6"/>
              <w:spacing w:line="320" w:lineRule="exac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分</w:t>
            </w:r>
          </w:p>
        </w:tc>
        <w:tc>
          <w:tcPr>
            <w:tcW w:w="5409" w:type="dxa"/>
            <w:vAlign w:val="center"/>
          </w:tcPr>
          <w:p w14:paraId="4B1D96A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供应商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具有中国绿色食品发展中心颁发的辣椒绿色食品证书且产量在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400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吨及以上的得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分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，</w:t>
            </w: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未提供的不得分。</w:t>
            </w:r>
          </w:p>
        </w:tc>
      </w:tr>
      <w:tr w14:paraId="4F448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  <w:jc w:val="center"/>
        </w:trPr>
        <w:tc>
          <w:tcPr>
            <w:tcW w:w="662" w:type="dxa"/>
            <w:vAlign w:val="center"/>
          </w:tcPr>
          <w:p w14:paraId="6AFB6E28">
            <w:pPr>
              <w:pStyle w:val="6"/>
              <w:spacing w:line="320" w:lineRule="exac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357" w:type="dxa"/>
            <w:vAlign w:val="center"/>
          </w:tcPr>
          <w:p w14:paraId="26A1AA6B">
            <w:pPr>
              <w:pStyle w:val="6"/>
              <w:spacing w:line="320" w:lineRule="exac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>业绩</w:t>
            </w:r>
          </w:p>
        </w:tc>
        <w:tc>
          <w:tcPr>
            <w:tcW w:w="1153" w:type="dxa"/>
            <w:vAlign w:val="center"/>
          </w:tcPr>
          <w:p w14:paraId="6478EC97">
            <w:pPr>
              <w:pStyle w:val="6"/>
              <w:spacing w:line="320" w:lineRule="exac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分</w:t>
            </w:r>
          </w:p>
        </w:tc>
        <w:tc>
          <w:tcPr>
            <w:tcW w:w="5409" w:type="dxa"/>
            <w:vAlign w:val="center"/>
          </w:tcPr>
          <w:p w14:paraId="6884D424">
            <w:pPr>
              <w:pStyle w:val="7"/>
              <w:numPr>
                <w:ilvl w:val="0"/>
                <w:numId w:val="0"/>
              </w:numPr>
              <w:adjustRightInd w:val="0"/>
              <w:snapToGrid w:val="0"/>
              <w:spacing w:line="32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自2023年</w:t>
            </w: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月1日至响应文件递交截止日，</w:t>
            </w: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>提供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>个</w:t>
            </w:r>
            <w:r>
              <w:rPr>
                <w:rFonts w:ascii="宋体" w:hAnsi="宋体" w:eastAsia="宋体" w:cs="宋体"/>
                <w:sz w:val="24"/>
                <w:szCs w:val="24"/>
              </w:rPr>
              <w:t>新鲜蔬菜类</w:t>
            </w: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>合同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业绩得</w:t>
            </w: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分，本项最多得</w:t>
            </w: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分。</w:t>
            </w:r>
          </w:p>
          <w:p w14:paraId="7A9E1AA6">
            <w:pPr>
              <w:pStyle w:val="7"/>
              <w:numPr>
                <w:ilvl w:val="0"/>
                <w:numId w:val="0"/>
              </w:numPr>
              <w:adjustRightInd w:val="0"/>
              <w:snapToGrid w:val="0"/>
              <w:spacing w:line="320" w:lineRule="exact"/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注：提供中标（成交）通知书或合同复印件等有效证明材料并加盖供应商公章 （鲜章），不提供不得分。</w:t>
            </w:r>
          </w:p>
        </w:tc>
      </w:tr>
      <w:tr w14:paraId="612D4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8581" w:type="dxa"/>
            <w:gridSpan w:val="4"/>
            <w:vAlign w:val="center"/>
          </w:tcPr>
          <w:p w14:paraId="3B13C89E">
            <w:pPr>
              <w:pStyle w:val="7"/>
              <w:numPr>
                <w:ilvl w:val="0"/>
                <w:numId w:val="0"/>
              </w:numPr>
              <w:adjustRightInd w:val="0"/>
              <w:snapToGrid w:val="0"/>
              <w:spacing w:line="320" w:lineRule="exact"/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宋体"/>
                <w:b/>
                <w:bCs/>
                <w:sz w:val="24"/>
                <w:szCs w:val="24"/>
                <w:lang w:val="en-US" w:eastAsia="zh-CN"/>
              </w:rPr>
              <w:t>备注：本项“种植及异物控制方案”的正文内容（不含封面、目录、附件、资质证明等）原则上不超过20页。若方案篇幅超出此限制，评审小组将根据超出的幅度以及对核心内容聚焦程度的影响，在对应评分项的得分基础上酌情扣减 1-3分（扣分上限为3分）。篇幅过长导致关键信息不突出的，将直接影响“优/良/一般”等级的判定。</w:t>
            </w:r>
          </w:p>
        </w:tc>
      </w:tr>
    </w:tbl>
    <w:p w14:paraId="49960B8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51338A"/>
    <w:rsid w:val="03E5328D"/>
    <w:rsid w:val="0A7F43E5"/>
    <w:rsid w:val="0C51338A"/>
    <w:rsid w:val="0F014383"/>
    <w:rsid w:val="0F694CC8"/>
    <w:rsid w:val="16E64EFA"/>
    <w:rsid w:val="1BBC0904"/>
    <w:rsid w:val="1C7551A7"/>
    <w:rsid w:val="23B13D75"/>
    <w:rsid w:val="2EF324D7"/>
    <w:rsid w:val="302D4B96"/>
    <w:rsid w:val="31132938"/>
    <w:rsid w:val="43631293"/>
    <w:rsid w:val="470C24D2"/>
    <w:rsid w:val="47D01C4B"/>
    <w:rsid w:val="4A595408"/>
    <w:rsid w:val="4C516081"/>
    <w:rsid w:val="503B350C"/>
    <w:rsid w:val="556F7038"/>
    <w:rsid w:val="58543C7C"/>
    <w:rsid w:val="5BA34735"/>
    <w:rsid w:val="5CD1707F"/>
    <w:rsid w:val="6166248C"/>
    <w:rsid w:val="6BE65C14"/>
    <w:rsid w:val="70F00CE0"/>
    <w:rsid w:val="7CFB1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13、表格内居中正文"/>
    <w:basedOn w:val="1"/>
    <w:autoRedefine/>
    <w:qFormat/>
    <w:uiPriority w:val="0"/>
    <w:pPr>
      <w:tabs>
        <w:tab w:val="left" w:pos="0"/>
      </w:tabs>
      <w:wordWrap w:val="0"/>
      <w:topLinePunct/>
      <w:spacing w:line="360" w:lineRule="exact"/>
      <w:jc w:val="center"/>
    </w:pPr>
    <w:rPr>
      <w:rFonts w:ascii="宋体" w:hAnsi="宋体"/>
    </w:rPr>
  </w:style>
  <w:style w:type="paragraph" w:customStyle="1" w:styleId="7">
    <w:name w:val="12、表格内左对齐正文"/>
    <w:basedOn w:val="1"/>
    <w:autoRedefine/>
    <w:qFormat/>
    <w:uiPriority w:val="0"/>
    <w:pPr>
      <w:tabs>
        <w:tab w:val="left" w:pos="0"/>
      </w:tabs>
      <w:wordWrap w:val="0"/>
      <w:topLinePunct/>
      <w:spacing w:line="360" w:lineRule="exact"/>
      <w:ind w:left="48" w:leftChars="20"/>
    </w:pPr>
    <w:rPr>
      <w:rFonts w:ascii="宋体" w:hAnsi="宋体"/>
      <w:snapToGrid w:val="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563</Words>
  <Characters>593</Characters>
  <Lines>0</Lines>
  <Paragraphs>0</Paragraphs>
  <TotalTime>7</TotalTime>
  <ScaleCrop>false</ScaleCrop>
  <LinksUpToDate>false</LinksUpToDate>
  <CharactersWithSpaces>594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2026-02-02T00:45:00Z</dcterms:created>
  <dc:creator>胡祺</dc:creator>
  <cp:lastModifiedBy>熊杰迪</cp:lastModifiedBy>
  <dcterms:modified xsi:type="dcterms:W3CDTF">2026-07-17T05:34:27Z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2472BA5180834B07A50D139EB430513C_13</vt:lpwstr>
  </property>
  <property fmtid="{D5CDD505-2E9C-101B-9397-08002B2CF9AE}" pid="4" name="KSOTemplateDocerSaveRecord">
    <vt:lpwstr>eyJoZGlkIjoiNmVjMGIxNmYwMzM1NzllNWUyMTBjMDJiZDFjYjQxY2QiLCJ1c2VySWQiOiIxNjc5MjY3Mzk4In0=</vt:lpwstr>
  </property>
</Properties>
</file>