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C261C">
      <w:pPr>
        <w:spacing w:line="570" w:lineRule="exact"/>
        <w:rPr>
          <w:rFonts w:hint="eastAsia" w:ascii="方正仿宋简体" w:eastAsia="方正仿宋简体" w:cs="宋体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宋体"/>
          <w:sz w:val="32"/>
          <w:szCs w:val="32"/>
        </w:rPr>
        <w:t>附件</w:t>
      </w:r>
      <w:r>
        <w:rPr>
          <w:rFonts w:hint="eastAsia" w:ascii="方正仿宋简体" w:eastAsia="方正仿宋简体" w:cs="宋体"/>
          <w:sz w:val="32"/>
          <w:szCs w:val="32"/>
          <w:lang w:val="en-US" w:eastAsia="zh-CN"/>
        </w:rPr>
        <w:t>3</w:t>
      </w:r>
    </w:p>
    <w:p w14:paraId="1A714CE5">
      <w:pPr>
        <w:ind w:firstLine="280" w:firstLineChars="100"/>
        <w:jc w:val="center"/>
        <w:rPr>
          <w:rFonts w:hint="eastAsia" w:ascii="方正黑体简体" w:hAnsi="仿宋_GB2312" w:eastAsia="方正黑体简体" w:cs="仿宋_GB2312"/>
          <w:szCs w:val="28"/>
          <w:lang w:val="en-US" w:eastAsia="zh-CN"/>
        </w:rPr>
      </w:pPr>
      <w:r>
        <w:rPr>
          <w:rFonts w:hint="eastAsia" w:ascii="方正黑体简体" w:hAnsi="仿宋_GB2312" w:eastAsia="方正黑体简体" w:cs="仿宋_GB2312"/>
          <w:szCs w:val="28"/>
          <w:lang w:val="en-US" w:eastAsia="zh-CN"/>
        </w:rPr>
        <w:t>2026年度公众责任险和财产综合险投保采购项目</w:t>
      </w:r>
    </w:p>
    <w:p w14:paraId="2383A1A4">
      <w:pPr>
        <w:ind w:firstLine="280" w:firstLineChars="100"/>
        <w:jc w:val="center"/>
        <w:rPr>
          <w:rFonts w:hint="eastAsia" w:ascii="方正黑体简体" w:hAnsi="仿宋_GB2312" w:eastAsia="方正黑体简体" w:cs="仿宋_GB2312"/>
          <w:szCs w:val="28"/>
        </w:rPr>
      </w:pPr>
      <w:r>
        <w:rPr>
          <w:rFonts w:hint="eastAsia" w:ascii="方正黑体简体" w:hAnsi="仿宋_GB2312" w:eastAsia="方正黑体简体" w:cs="仿宋_GB2312"/>
          <w:szCs w:val="28"/>
        </w:rPr>
        <w:t>评分标准</w:t>
      </w:r>
    </w:p>
    <w:tbl>
      <w:tblPr>
        <w:tblStyle w:val="2"/>
        <w:tblW w:w="9734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1545"/>
        <w:gridCol w:w="993"/>
        <w:gridCol w:w="6296"/>
      </w:tblGrid>
      <w:tr w14:paraId="7272460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7" w:hRule="atLeast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1195A8A1">
            <w:pPr>
              <w:spacing w:line="360" w:lineRule="auto"/>
              <w:jc w:val="center"/>
              <w:rPr>
                <w:rFonts w:hint="eastAsia" w:cs="宋体"/>
                <w:b/>
                <w:bCs/>
                <w:kern w:val="1"/>
                <w:sz w:val="24"/>
              </w:rPr>
            </w:pPr>
            <w:r>
              <w:rPr>
                <w:rFonts w:hint="eastAsia" w:cs="宋体"/>
                <w:b/>
                <w:bCs/>
                <w:kern w:val="1"/>
                <w:sz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582CD972">
            <w:pPr>
              <w:spacing w:line="360" w:lineRule="auto"/>
              <w:jc w:val="center"/>
              <w:rPr>
                <w:rFonts w:hint="eastAsia" w:cs="宋体"/>
                <w:b/>
                <w:bCs/>
                <w:kern w:val="1"/>
                <w:sz w:val="24"/>
              </w:rPr>
            </w:pPr>
            <w:r>
              <w:rPr>
                <w:rFonts w:hint="eastAsia" w:cs="宋体"/>
                <w:b/>
                <w:bCs/>
                <w:kern w:val="1"/>
                <w:sz w:val="24"/>
              </w:rPr>
              <w:t>评分因素</w:t>
            </w:r>
          </w:p>
        </w:tc>
        <w:tc>
          <w:tcPr>
            <w:tcW w:w="993" w:type="dxa"/>
            <w:vAlign w:val="center"/>
          </w:tcPr>
          <w:p w14:paraId="2144A2B7">
            <w:pPr>
              <w:spacing w:line="360" w:lineRule="auto"/>
              <w:jc w:val="center"/>
              <w:rPr>
                <w:rFonts w:hint="eastAsia" w:cs="宋体"/>
                <w:b/>
                <w:bCs/>
                <w:kern w:val="1"/>
                <w:sz w:val="24"/>
              </w:rPr>
            </w:pPr>
            <w:r>
              <w:rPr>
                <w:rFonts w:hint="eastAsia" w:cs="宋体"/>
                <w:b/>
                <w:bCs/>
                <w:kern w:val="1"/>
                <w:sz w:val="24"/>
              </w:rPr>
              <w:t>分值</w:t>
            </w:r>
          </w:p>
        </w:tc>
        <w:tc>
          <w:tcPr>
            <w:tcW w:w="6296" w:type="dxa"/>
            <w:vAlign w:val="center"/>
          </w:tcPr>
          <w:p w14:paraId="0631A231">
            <w:pPr>
              <w:spacing w:line="360" w:lineRule="auto"/>
              <w:ind w:firstLine="241" w:firstLineChars="100"/>
              <w:jc w:val="center"/>
              <w:rPr>
                <w:rFonts w:hint="eastAsia" w:cs="宋体"/>
                <w:b/>
                <w:bCs/>
                <w:kern w:val="1"/>
                <w:sz w:val="24"/>
              </w:rPr>
            </w:pPr>
            <w:r>
              <w:rPr>
                <w:rFonts w:hint="eastAsia" w:cs="宋体"/>
                <w:b/>
                <w:bCs/>
                <w:kern w:val="1"/>
                <w:sz w:val="24"/>
              </w:rPr>
              <w:t>评 分 标 准</w:t>
            </w:r>
          </w:p>
        </w:tc>
      </w:tr>
      <w:tr w14:paraId="650D73F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7" w:hRule="atLeast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3E442445">
            <w:pPr>
              <w:spacing w:line="360" w:lineRule="auto"/>
              <w:jc w:val="center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28E2EB83">
            <w:pPr>
              <w:spacing w:line="360" w:lineRule="auto"/>
              <w:jc w:val="center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</w:rPr>
              <w:t>报价</w:t>
            </w:r>
          </w:p>
        </w:tc>
        <w:tc>
          <w:tcPr>
            <w:tcW w:w="993" w:type="dxa"/>
            <w:vAlign w:val="center"/>
          </w:tcPr>
          <w:p w14:paraId="3362AC7F">
            <w:pPr>
              <w:spacing w:line="360" w:lineRule="auto"/>
              <w:jc w:val="center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  <w:lang w:val="en-US" w:eastAsia="zh-CN"/>
              </w:rPr>
              <w:t>7</w:t>
            </w:r>
            <w:r>
              <w:rPr>
                <w:rFonts w:hint="eastAsia" w:cs="宋体"/>
                <w:kern w:val="1"/>
                <w:sz w:val="24"/>
              </w:rPr>
              <w:t>0分</w:t>
            </w:r>
          </w:p>
        </w:tc>
        <w:tc>
          <w:tcPr>
            <w:tcW w:w="6296" w:type="dxa"/>
            <w:vAlign w:val="center"/>
          </w:tcPr>
          <w:p w14:paraId="5B39E1D7">
            <w:pPr>
              <w:spacing w:line="360" w:lineRule="auto"/>
              <w:ind w:firstLine="480" w:firstLineChars="200"/>
              <w:jc w:val="left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</w:rPr>
              <w:t>以满足本项目要求文件的各报价单位报价总价（以不含税计算）的算术平均值为基准价得55分，报价与基准价相比，每高1%扣1分（最多扣15分），每低1%加1分（最多加15分），不足1%的按四舍五入计算。</w:t>
            </w:r>
          </w:p>
        </w:tc>
      </w:tr>
      <w:tr w14:paraId="44F64FA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1" w:hRule="atLeast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43DA98EB">
            <w:pPr>
              <w:spacing w:line="360" w:lineRule="auto"/>
              <w:jc w:val="center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</w:rPr>
              <w:t>2</w:t>
            </w:r>
          </w:p>
        </w:tc>
        <w:tc>
          <w:tcPr>
            <w:tcW w:w="1545" w:type="dxa"/>
            <w:vAlign w:val="center"/>
          </w:tcPr>
          <w:p w14:paraId="231F263F">
            <w:pPr>
              <w:spacing w:line="360" w:lineRule="auto"/>
              <w:jc w:val="center"/>
              <w:rPr>
                <w:rFonts w:hint="default" w:eastAsia="宋体" w:cs="宋体"/>
                <w:kern w:val="1"/>
                <w:sz w:val="24"/>
                <w:lang w:val="en-US" w:eastAsia="zh-CN"/>
              </w:rPr>
            </w:pPr>
            <w:r>
              <w:rPr>
                <w:rFonts w:hint="eastAsia" w:cs="宋体"/>
                <w:kern w:val="1"/>
                <w:sz w:val="24"/>
                <w:lang w:val="en-US" w:eastAsia="zh-CN"/>
              </w:rPr>
              <w:t>投保方案</w:t>
            </w:r>
          </w:p>
        </w:tc>
        <w:tc>
          <w:tcPr>
            <w:tcW w:w="993" w:type="dxa"/>
            <w:vAlign w:val="center"/>
          </w:tcPr>
          <w:p w14:paraId="278BCF3D">
            <w:pPr>
              <w:spacing w:line="360" w:lineRule="auto"/>
              <w:jc w:val="center"/>
              <w:rPr>
                <w:rFonts w:hint="eastAsia" w:cs="宋体"/>
                <w:kern w:val="1"/>
                <w:sz w:val="24"/>
              </w:rPr>
            </w:pPr>
            <w:r>
              <w:rPr>
                <w:rFonts w:hint="eastAsia" w:cs="宋体"/>
                <w:kern w:val="1"/>
                <w:sz w:val="24"/>
                <w:lang w:val="en-US" w:eastAsia="zh-CN"/>
              </w:rPr>
              <w:t>3</w:t>
            </w:r>
            <w:r>
              <w:rPr>
                <w:rFonts w:hint="eastAsia" w:cs="宋体"/>
                <w:kern w:val="1"/>
                <w:sz w:val="24"/>
              </w:rPr>
              <w:t>0分</w:t>
            </w:r>
          </w:p>
        </w:tc>
        <w:tc>
          <w:tcPr>
            <w:tcW w:w="6296" w:type="dxa"/>
            <w:vAlign w:val="center"/>
          </w:tcPr>
          <w:p w14:paraId="16EE68B2">
            <w:pPr>
              <w:spacing w:line="360" w:lineRule="auto"/>
              <w:ind w:firstLine="480" w:firstLineChars="200"/>
              <w:rPr>
                <w:rFonts w:hint="default" w:eastAsia="方正仿宋简体" w:cs="宋体"/>
                <w:kern w:val="1"/>
                <w:sz w:val="24"/>
                <w:lang w:val="en-US" w:eastAsia="zh-CN"/>
              </w:rPr>
            </w:pPr>
            <w:r>
              <w:rPr>
                <w:rFonts w:hint="eastAsia" w:cs="宋体"/>
                <w:kern w:val="1"/>
                <w:sz w:val="24"/>
              </w:rPr>
              <w:t>对报价单位提供的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投保方案</w:t>
            </w:r>
            <w:r>
              <w:rPr>
                <w:rFonts w:hint="eastAsia" w:cs="宋体"/>
                <w:kern w:val="1"/>
                <w:sz w:val="24"/>
              </w:rPr>
              <w:t>进行评比，主要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对保险方案及附加险条款、附加险条款完整度、理赔服务方案、突发事件应急处置预案</w:t>
            </w:r>
            <w:r>
              <w:rPr>
                <w:rFonts w:hint="eastAsia" w:cs="宋体"/>
                <w:kern w:val="1"/>
                <w:sz w:val="24"/>
              </w:rPr>
              <w:t>进行</w:t>
            </w:r>
            <w:r>
              <w:rPr>
                <w:rFonts w:hint="eastAsia" w:cs="宋体"/>
                <w:kern w:val="1"/>
                <w:sz w:val="24"/>
                <w:lang w:eastAsia="zh-CN"/>
              </w:rPr>
              <w:t>综合的横向比较</w:t>
            </w:r>
            <w:r>
              <w:rPr>
                <w:rFonts w:hint="eastAsia" w:cs="宋体"/>
                <w:kern w:val="1"/>
                <w:sz w:val="24"/>
              </w:rPr>
              <w:t>，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优</w:t>
            </w:r>
            <w:r>
              <w:rPr>
                <w:rFonts w:hint="eastAsia" w:cs="宋体"/>
                <w:kern w:val="1"/>
                <w:sz w:val="24"/>
              </w:rPr>
              <w:t>得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3</w:t>
            </w:r>
            <w:r>
              <w:rPr>
                <w:rFonts w:hint="eastAsia" w:cs="宋体"/>
                <w:kern w:val="1"/>
                <w:sz w:val="24"/>
              </w:rPr>
              <w:t>0分，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良</w:t>
            </w:r>
            <w:r>
              <w:rPr>
                <w:rFonts w:hint="eastAsia" w:cs="宋体"/>
                <w:kern w:val="1"/>
                <w:sz w:val="24"/>
              </w:rPr>
              <w:t>得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20</w:t>
            </w:r>
            <w:r>
              <w:rPr>
                <w:rFonts w:hint="eastAsia" w:cs="宋体"/>
                <w:kern w:val="1"/>
                <w:sz w:val="24"/>
              </w:rPr>
              <w:t>分，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一般</w:t>
            </w:r>
            <w:r>
              <w:rPr>
                <w:rFonts w:hint="eastAsia" w:cs="宋体"/>
                <w:kern w:val="1"/>
                <w:sz w:val="24"/>
              </w:rPr>
              <w:t>得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10</w:t>
            </w:r>
            <w:r>
              <w:rPr>
                <w:rFonts w:hint="eastAsia" w:cs="宋体"/>
                <w:kern w:val="1"/>
                <w:sz w:val="24"/>
              </w:rPr>
              <w:t>分，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差得5分，</w:t>
            </w:r>
            <w:r>
              <w:rPr>
                <w:rFonts w:hint="eastAsia" w:cs="宋体"/>
                <w:kern w:val="1"/>
                <w:sz w:val="24"/>
              </w:rPr>
              <w:t>可并列得分。</w:t>
            </w:r>
            <w:r>
              <w:rPr>
                <w:rFonts w:hint="eastAsia" w:cs="宋体"/>
                <w:kern w:val="1"/>
                <w:sz w:val="24"/>
                <w:lang w:val="en-US" w:eastAsia="zh-CN"/>
              </w:rPr>
              <w:t>未提供方案不得分。</w:t>
            </w:r>
          </w:p>
        </w:tc>
      </w:tr>
    </w:tbl>
    <w:p w14:paraId="4DA9CC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9FA0D3-8B8A-4A08-810E-025C7D59CE9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069A075F-5ADA-477C-A11A-2EDE9A1DDDC7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CEC90EE-1A30-4B7F-9AD5-B37870181A8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7059F8FE-332C-4C7E-A0CB-7573E983EF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5C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2026-07-10T08:35:23Z</dcterms:created>
  <dc:creator>o</dc:creator>
  <cp:lastModifiedBy>sinner</cp:lastModifiedBy>
  <dcterms:modified xsi:type="dcterms:W3CDTF">2026-07-10T08:35:43Z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C644F8FA078C4E14A45C55D9503AF98F_12</vt:lpwstr>
  </property>
</Properties>
</file>