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7BA50">
      <w:pPr>
        <w:ind w:right="960"/>
        <w:rPr>
          <w:rFonts w:ascii="方正仿宋简体" w:eastAsia="方正仿宋简体"/>
          <w:sz w:val="32"/>
          <w:szCs w:val="32"/>
        </w:rPr>
      </w:pPr>
      <w:r>
        <w:rPr>
          <w:rFonts w:hint="eastAsia" w:ascii="方正仿宋简体" w:eastAsia="方正仿宋简体"/>
          <w:sz w:val="32"/>
          <w:szCs w:val="32"/>
        </w:rPr>
        <w:t>附件2：</w:t>
      </w:r>
    </w:p>
    <w:p w14:paraId="1EECE0C3">
      <w:pPr>
        <w:jc w:val="center"/>
        <w:rPr>
          <w:rFonts w:hint="eastAsia" w:ascii="方正仿宋简体" w:eastAsia="方正仿宋简体"/>
          <w:sz w:val="32"/>
          <w:szCs w:val="32"/>
        </w:rPr>
      </w:pPr>
      <w:r>
        <w:rPr>
          <w:rFonts w:ascii="黑体" w:hAnsi="黑体" w:eastAsia="黑体" w:cs="黑体"/>
          <w:bCs/>
          <w:szCs w:val="28"/>
        </w:rPr>
        <w:t>2026-2028年度ES体系认证服务采购项目</w:t>
      </w:r>
      <w:r>
        <w:rPr>
          <w:rFonts w:hint="eastAsia" w:ascii="黑体" w:hAnsi="黑体" w:eastAsia="黑体" w:cs="黑体"/>
          <w:bCs/>
          <w:szCs w:val="28"/>
        </w:rPr>
        <w:t>（第二次）评分标准</w:t>
      </w:r>
    </w:p>
    <w:tbl>
      <w:tblPr>
        <w:tblStyle w:val="2"/>
        <w:tblW w:w="56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272"/>
        <w:gridCol w:w="836"/>
        <w:gridCol w:w="6629"/>
      </w:tblGrid>
      <w:tr w14:paraId="5CF9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vAlign w:val="center"/>
          </w:tcPr>
          <w:p w14:paraId="6850CCC1">
            <w:pPr>
              <w:widowControl/>
              <w:jc w:val="center"/>
              <w:rPr>
                <w:rFonts w:hint="eastAsia" w:cs="宋体"/>
                <w:color w:val="000000"/>
                <w:kern w:val="0"/>
                <w:sz w:val="24"/>
              </w:rPr>
            </w:pPr>
            <w:r>
              <w:rPr>
                <w:rFonts w:cs="宋体"/>
                <w:color w:val="000000"/>
                <w:kern w:val="0"/>
                <w:sz w:val="24"/>
              </w:rPr>
              <w:t>序号</w:t>
            </w:r>
          </w:p>
        </w:tc>
        <w:tc>
          <w:tcPr>
            <w:tcW w:w="662" w:type="pct"/>
            <w:vAlign w:val="center"/>
          </w:tcPr>
          <w:p w14:paraId="7ECBF6DB">
            <w:pPr>
              <w:widowControl/>
              <w:jc w:val="center"/>
              <w:rPr>
                <w:rFonts w:hint="eastAsia" w:cs="宋体"/>
                <w:color w:val="000000"/>
                <w:kern w:val="0"/>
                <w:sz w:val="24"/>
              </w:rPr>
            </w:pPr>
            <w:r>
              <w:rPr>
                <w:rFonts w:cs="宋体"/>
                <w:color w:val="000000"/>
                <w:kern w:val="0"/>
                <w:sz w:val="24"/>
              </w:rPr>
              <w:t>评分因素</w:t>
            </w:r>
          </w:p>
        </w:tc>
        <w:tc>
          <w:tcPr>
            <w:tcW w:w="435" w:type="pct"/>
            <w:vAlign w:val="center"/>
          </w:tcPr>
          <w:p w14:paraId="71CA1B3A">
            <w:pPr>
              <w:widowControl/>
              <w:jc w:val="center"/>
              <w:rPr>
                <w:rFonts w:hint="eastAsia" w:cs="宋体"/>
                <w:color w:val="000000"/>
                <w:kern w:val="0"/>
                <w:sz w:val="24"/>
              </w:rPr>
            </w:pPr>
            <w:r>
              <w:rPr>
                <w:rFonts w:cs="宋体"/>
                <w:color w:val="000000"/>
                <w:kern w:val="0"/>
                <w:sz w:val="24"/>
              </w:rPr>
              <w:t>分值</w:t>
            </w:r>
          </w:p>
        </w:tc>
        <w:tc>
          <w:tcPr>
            <w:tcW w:w="3451" w:type="pct"/>
            <w:vAlign w:val="center"/>
          </w:tcPr>
          <w:p w14:paraId="71838105">
            <w:pPr>
              <w:widowControl/>
              <w:jc w:val="center"/>
              <w:rPr>
                <w:rFonts w:hint="eastAsia" w:cs="宋体"/>
                <w:color w:val="000000"/>
                <w:kern w:val="0"/>
                <w:sz w:val="24"/>
              </w:rPr>
            </w:pPr>
            <w:r>
              <w:rPr>
                <w:rFonts w:cs="宋体"/>
                <w:color w:val="000000"/>
                <w:kern w:val="0"/>
                <w:sz w:val="24"/>
              </w:rPr>
              <w:t>评分标准</w:t>
            </w:r>
          </w:p>
        </w:tc>
      </w:tr>
      <w:tr w14:paraId="2418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52" w:type="pct"/>
            <w:vAlign w:val="center"/>
          </w:tcPr>
          <w:p w14:paraId="6CC4F4AF">
            <w:pPr>
              <w:widowControl/>
              <w:jc w:val="center"/>
              <w:rPr>
                <w:rFonts w:hint="eastAsia" w:cs="宋体"/>
                <w:color w:val="000000"/>
                <w:kern w:val="0"/>
                <w:sz w:val="24"/>
              </w:rPr>
            </w:pPr>
            <w:r>
              <w:rPr>
                <w:rFonts w:cs="宋体"/>
                <w:color w:val="000000"/>
                <w:kern w:val="0"/>
                <w:sz w:val="24"/>
              </w:rPr>
              <w:t>1</w:t>
            </w:r>
          </w:p>
        </w:tc>
        <w:tc>
          <w:tcPr>
            <w:tcW w:w="662" w:type="pct"/>
            <w:vAlign w:val="center"/>
          </w:tcPr>
          <w:p w14:paraId="5AEBD8C1">
            <w:pPr>
              <w:widowControl/>
              <w:jc w:val="center"/>
              <w:rPr>
                <w:rFonts w:hint="eastAsia" w:cs="宋体"/>
                <w:color w:val="000000"/>
                <w:kern w:val="0"/>
                <w:sz w:val="24"/>
              </w:rPr>
            </w:pPr>
            <w:r>
              <w:rPr>
                <w:rFonts w:cs="宋体"/>
                <w:color w:val="000000"/>
                <w:kern w:val="0"/>
                <w:sz w:val="24"/>
              </w:rPr>
              <w:t>报价评分标准</w:t>
            </w:r>
          </w:p>
        </w:tc>
        <w:tc>
          <w:tcPr>
            <w:tcW w:w="435" w:type="pct"/>
            <w:vAlign w:val="center"/>
          </w:tcPr>
          <w:p w14:paraId="24E755A2">
            <w:pPr>
              <w:widowControl/>
              <w:jc w:val="center"/>
              <w:rPr>
                <w:rFonts w:hint="eastAsia" w:cs="宋体"/>
                <w:color w:val="000000"/>
                <w:kern w:val="0"/>
                <w:sz w:val="24"/>
              </w:rPr>
            </w:pPr>
            <w:r>
              <w:rPr>
                <w:rFonts w:hint="eastAsia" w:cs="宋体"/>
                <w:color w:val="000000"/>
                <w:kern w:val="0"/>
                <w:sz w:val="24"/>
              </w:rPr>
              <w:t>60</w:t>
            </w:r>
            <w:r>
              <w:rPr>
                <w:rFonts w:cs="宋体"/>
                <w:color w:val="000000"/>
                <w:kern w:val="0"/>
                <w:sz w:val="24"/>
              </w:rPr>
              <w:t>分</w:t>
            </w:r>
          </w:p>
        </w:tc>
        <w:tc>
          <w:tcPr>
            <w:tcW w:w="3451" w:type="pct"/>
            <w:vAlign w:val="center"/>
          </w:tcPr>
          <w:p w14:paraId="59CCE272">
            <w:pPr>
              <w:widowControl/>
              <w:rPr>
                <w:rFonts w:hint="eastAsia" w:cs="宋体"/>
                <w:color w:val="000000"/>
                <w:kern w:val="0"/>
                <w:sz w:val="24"/>
              </w:rPr>
            </w:pPr>
            <w:r>
              <w:rPr>
                <w:rFonts w:cs="宋体"/>
                <w:color w:val="000000"/>
                <w:kern w:val="0"/>
                <w:sz w:val="24"/>
              </w:rPr>
              <w:t>满足本项目服务要求文件的各投标人最终投标价的算术平均值为基准价，基准分</w:t>
            </w:r>
            <w:r>
              <w:rPr>
                <w:rFonts w:hint="eastAsia" w:cs="宋体"/>
                <w:color w:val="000000"/>
                <w:kern w:val="0"/>
                <w:sz w:val="24"/>
              </w:rPr>
              <w:t>60</w:t>
            </w:r>
            <w:r>
              <w:rPr>
                <w:rFonts w:cs="宋体"/>
                <w:color w:val="000000"/>
                <w:kern w:val="0"/>
                <w:sz w:val="24"/>
              </w:rPr>
              <w:t>分；有效投标的最终报价评审价等于基准价的得满分，有效投标最终报价评审价低于基准价的，每低1%扣0.5分，有效投标最终报价评审价高于基准价的，每高1%扣1分 ；不足1%的按四舍五入计算，小数点后保留两位。</w:t>
            </w:r>
          </w:p>
        </w:tc>
      </w:tr>
      <w:tr w14:paraId="7260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52" w:type="pct"/>
            <w:vAlign w:val="center"/>
          </w:tcPr>
          <w:p w14:paraId="49671171">
            <w:pPr>
              <w:widowControl/>
              <w:jc w:val="center"/>
              <w:rPr>
                <w:rFonts w:hint="eastAsia" w:cs="宋体"/>
                <w:color w:val="000000"/>
                <w:kern w:val="0"/>
                <w:sz w:val="24"/>
              </w:rPr>
            </w:pPr>
            <w:r>
              <w:rPr>
                <w:rFonts w:cs="宋体"/>
                <w:color w:val="000000"/>
                <w:kern w:val="0"/>
                <w:sz w:val="24"/>
              </w:rPr>
              <w:t>2</w:t>
            </w:r>
          </w:p>
        </w:tc>
        <w:tc>
          <w:tcPr>
            <w:tcW w:w="662" w:type="pct"/>
            <w:vAlign w:val="center"/>
          </w:tcPr>
          <w:p w14:paraId="1214E782">
            <w:pPr>
              <w:widowControl/>
              <w:jc w:val="center"/>
              <w:rPr>
                <w:rFonts w:hint="eastAsia" w:cs="宋体"/>
                <w:color w:val="000000"/>
                <w:kern w:val="0"/>
                <w:sz w:val="24"/>
              </w:rPr>
            </w:pPr>
            <w:r>
              <w:rPr>
                <w:rFonts w:hint="eastAsia" w:cs="宋体"/>
                <w:color w:val="000000"/>
                <w:kern w:val="0"/>
                <w:sz w:val="24"/>
              </w:rPr>
              <w:t>服务方案</w:t>
            </w:r>
          </w:p>
        </w:tc>
        <w:tc>
          <w:tcPr>
            <w:tcW w:w="435" w:type="pct"/>
            <w:vAlign w:val="center"/>
          </w:tcPr>
          <w:p w14:paraId="47021655">
            <w:pPr>
              <w:widowControl/>
              <w:jc w:val="center"/>
              <w:rPr>
                <w:rFonts w:hint="eastAsia" w:cs="宋体"/>
                <w:color w:val="000000"/>
                <w:kern w:val="0"/>
                <w:sz w:val="24"/>
              </w:rPr>
            </w:pPr>
            <w:r>
              <w:rPr>
                <w:rFonts w:hint="eastAsia" w:cs="宋体"/>
                <w:color w:val="000000"/>
                <w:kern w:val="0"/>
                <w:sz w:val="24"/>
              </w:rPr>
              <w:t>25分</w:t>
            </w:r>
          </w:p>
        </w:tc>
        <w:tc>
          <w:tcPr>
            <w:tcW w:w="3451" w:type="pct"/>
            <w:vAlign w:val="center"/>
          </w:tcPr>
          <w:p w14:paraId="361F85E2">
            <w:pPr>
              <w:widowControl/>
              <w:rPr>
                <w:rFonts w:hint="eastAsia" w:cs="宋体"/>
                <w:color w:val="000000"/>
                <w:kern w:val="0"/>
                <w:sz w:val="24"/>
              </w:rPr>
            </w:pPr>
            <w:r>
              <w:rPr>
                <w:rFonts w:hint="eastAsia" w:cs="宋体"/>
                <w:color w:val="000000"/>
                <w:kern w:val="0"/>
                <w:sz w:val="24"/>
              </w:rPr>
              <w:t>供应商提供服务方案需完整覆盖ES体系全流程，从认证机构组织分工、流程完整性、人员轮换、项目进度控制措施等方面进行综合排名打分，分别为25分、20分、15分、10分、5分。不提供不得分，可并列得分。</w:t>
            </w:r>
          </w:p>
        </w:tc>
      </w:tr>
      <w:tr w14:paraId="5295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52" w:type="pct"/>
            <w:vAlign w:val="center"/>
          </w:tcPr>
          <w:p w14:paraId="683E42FD">
            <w:pPr>
              <w:widowControl/>
              <w:jc w:val="center"/>
              <w:rPr>
                <w:rFonts w:hint="eastAsia" w:cs="宋体"/>
                <w:color w:val="000000"/>
                <w:kern w:val="0"/>
                <w:sz w:val="24"/>
              </w:rPr>
            </w:pPr>
            <w:r>
              <w:rPr>
                <w:rFonts w:hint="eastAsia" w:cs="宋体"/>
                <w:color w:val="000000"/>
                <w:kern w:val="0"/>
                <w:sz w:val="24"/>
              </w:rPr>
              <w:t>3</w:t>
            </w:r>
          </w:p>
        </w:tc>
        <w:tc>
          <w:tcPr>
            <w:tcW w:w="662" w:type="pct"/>
            <w:vAlign w:val="center"/>
          </w:tcPr>
          <w:p w14:paraId="379CDB1F">
            <w:pPr>
              <w:widowControl/>
              <w:jc w:val="center"/>
              <w:rPr>
                <w:rFonts w:hint="eastAsia" w:cs="宋体"/>
                <w:color w:val="000000"/>
                <w:kern w:val="0"/>
                <w:sz w:val="24"/>
              </w:rPr>
            </w:pPr>
            <w:r>
              <w:rPr>
                <w:rFonts w:hint="eastAsia" w:cs="宋体"/>
                <w:color w:val="000000"/>
                <w:kern w:val="0"/>
                <w:sz w:val="24"/>
              </w:rPr>
              <w:t>类似业绩</w:t>
            </w:r>
          </w:p>
        </w:tc>
        <w:tc>
          <w:tcPr>
            <w:tcW w:w="435" w:type="pct"/>
            <w:vAlign w:val="center"/>
          </w:tcPr>
          <w:p w14:paraId="178F0DBB">
            <w:pPr>
              <w:widowControl/>
              <w:jc w:val="center"/>
              <w:rPr>
                <w:rFonts w:hint="eastAsia" w:cs="宋体"/>
                <w:color w:val="000000"/>
                <w:kern w:val="0"/>
                <w:sz w:val="24"/>
              </w:rPr>
            </w:pPr>
            <w:r>
              <w:rPr>
                <w:rFonts w:hint="eastAsia" w:cs="宋体"/>
                <w:color w:val="000000"/>
                <w:kern w:val="0"/>
                <w:sz w:val="24"/>
              </w:rPr>
              <w:t>15</w:t>
            </w:r>
            <w:r>
              <w:rPr>
                <w:rFonts w:cs="宋体"/>
                <w:color w:val="000000"/>
                <w:kern w:val="0"/>
                <w:sz w:val="24"/>
              </w:rPr>
              <w:t>分</w:t>
            </w:r>
          </w:p>
        </w:tc>
        <w:tc>
          <w:tcPr>
            <w:tcW w:w="3451" w:type="pct"/>
            <w:vAlign w:val="center"/>
          </w:tcPr>
          <w:p w14:paraId="660E6DC3">
            <w:pPr>
              <w:widowControl/>
              <w:rPr>
                <w:rFonts w:hint="eastAsia" w:cs="宋体"/>
                <w:color w:val="000000"/>
                <w:kern w:val="0"/>
                <w:sz w:val="24"/>
              </w:rPr>
            </w:pPr>
            <w:r>
              <w:rPr>
                <w:rFonts w:hint="eastAsia" w:cs="宋体"/>
                <w:color w:val="000000"/>
                <w:kern w:val="0"/>
                <w:sz w:val="24"/>
              </w:rPr>
              <w:t>提供从</w:t>
            </w:r>
            <w:r>
              <w:rPr>
                <w:rFonts w:cs="宋体"/>
                <w:color w:val="000000"/>
                <w:kern w:val="0"/>
                <w:sz w:val="24"/>
              </w:rPr>
              <w:t>2023年1月1日起类似业绩，每提供1个</w:t>
            </w:r>
            <w:r>
              <w:rPr>
                <w:rFonts w:hint="eastAsia" w:cs="宋体"/>
                <w:color w:val="000000"/>
                <w:kern w:val="0"/>
                <w:sz w:val="24"/>
              </w:rPr>
              <w:t>食品加工行业</w:t>
            </w:r>
            <w:r>
              <w:rPr>
                <w:rFonts w:cs="宋体"/>
                <w:color w:val="000000"/>
                <w:kern w:val="0"/>
                <w:sz w:val="24"/>
              </w:rPr>
              <w:t>体系认证10万元以上的业绩得5分，满分15分。</w:t>
            </w:r>
          </w:p>
        </w:tc>
      </w:tr>
      <w:tr w14:paraId="7CB9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000" w:type="pct"/>
            <w:gridSpan w:val="4"/>
            <w:vAlign w:val="center"/>
          </w:tcPr>
          <w:p w14:paraId="6C972024">
            <w:pPr>
              <w:widowControl/>
              <w:jc w:val="center"/>
              <w:rPr>
                <w:rFonts w:hint="eastAsia" w:cs="宋体"/>
                <w:color w:val="000000"/>
                <w:kern w:val="0"/>
                <w:sz w:val="24"/>
              </w:rPr>
            </w:pPr>
            <w:r>
              <w:rPr>
                <w:rFonts w:hint="eastAsia" w:cs="宋体"/>
                <w:color w:val="000000"/>
                <w:kern w:val="0"/>
                <w:sz w:val="24"/>
              </w:rPr>
              <w:t>提供所有纸质资料需要加盖公章。</w:t>
            </w:r>
          </w:p>
        </w:tc>
      </w:tr>
    </w:tbl>
    <w:p w14:paraId="43F6A626">
      <w:pPr>
        <w:ind w:right="960" w:firstLine="1280" w:firstLineChars="400"/>
        <w:jc w:val="center"/>
        <w:rPr>
          <w:rFonts w:hint="eastAsia" w:ascii="方正仿宋简体" w:eastAsia="方正仿宋简体"/>
          <w:sz w:val="32"/>
          <w:szCs w:val="32"/>
        </w:rPr>
      </w:pPr>
    </w:p>
    <w:p w14:paraId="6A7A5F6F">
      <w:bookmarkStart w:id="0" w:name="_GoBack"/>
      <w:bookmarkEnd w:id="0"/>
    </w:p>
    <w:sectPr>
      <w:pgSz w:w="11906" w:h="16838"/>
      <w:pgMar w:top="1440" w:right="1800" w:bottom="1440" w:left="1800" w:header="851" w:footer="992" w:gutter="0"/>
      <w:pgNumType w:fmt="numberInDash"/>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D74B0D-B1F2-41D6-A5F6-ADD329C842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4A04290-C138-4BEF-A3FF-9CFA72C3ED76}"/>
  </w:font>
  <w:font w:name="方正仿宋简体">
    <w:panose1 w:val="02000000000000000000"/>
    <w:charset w:val="86"/>
    <w:family w:val="script"/>
    <w:pitch w:val="default"/>
    <w:sig w:usb0="A00002BF" w:usb1="184F6CFA" w:usb2="00000012" w:usb3="00000000" w:csb0="00040001" w:csb1="00000000"/>
    <w:embedRegular r:id="rId3" w:fontKey="{4AB48F7B-DFFA-4C7A-A44D-D1EAEF6DE9A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D1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宋体" w:hAnsi="宋体" w:eastAsia="宋体" w:cs="Times New Roman"/>
      <w:kern w:val="2"/>
      <w:sz w:val="28"/>
      <w:szCs w:val="24"/>
      <w:lang w:val="en-US" w:eastAsia="zh-CN" w:bidi="ar-SA"/>
      <w14:ligatures w14:val="none"/>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2026-06-22T09:11:32Z</dcterms:created>
  <dc:creator>o</dc:creator>
  <cp:lastModifiedBy>sinner</cp:lastModifiedBy>
  <dcterms:modified xsi:type="dcterms:W3CDTF">2026-06-22T09:11:35Z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eyJoZGlkIjoiZTJlMzg5NDczYzI2NTk5YmE3OWFkYzg4ZjllMzc1ZDkiLCJ1c2VySWQiOiI3Nzg4MTAzNTkifQ==</vt:lpwstr>
  </property>
  <property fmtid="{D5CDD505-2E9C-101B-9397-08002B2CF9AE}" pid="4" name="ICV">
    <vt:lpwstr>543C19362C624F579EEA670418026EF0_12</vt:lpwstr>
  </property>
</Properties>
</file>