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280"/>
        <w:gridCol w:w="1065"/>
        <w:gridCol w:w="5258"/>
        <w:gridCol w:w="883"/>
      </w:tblGrid>
      <w:tr w14:paraId="70C1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662" w:type="dxa"/>
            <w:vAlign w:val="center"/>
          </w:tcPr>
          <w:p w14:paraId="0DA69696">
            <w:pPr>
              <w:pStyle w:val="6"/>
              <w:spacing w:line="320" w:lineRule="exact"/>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280" w:type="dxa"/>
            <w:vAlign w:val="center"/>
          </w:tcPr>
          <w:p w14:paraId="7336CE9B">
            <w:pPr>
              <w:pStyle w:val="6"/>
              <w:spacing w:line="320" w:lineRule="exact"/>
              <w:rPr>
                <w:rFonts w:hint="eastAsia" w:ascii="宋体" w:hAnsi="宋体" w:eastAsia="宋体" w:cs="宋体"/>
                <w:b/>
                <w:bCs/>
                <w:sz w:val="24"/>
                <w:szCs w:val="24"/>
              </w:rPr>
            </w:pPr>
            <w:r>
              <w:rPr>
                <w:rFonts w:hint="eastAsia" w:ascii="宋体" w:hAnsi="宋体" w:eastAsia="宋体" w:cs="宋体"/>
                <w:b/>
                <w:bCs/>
                <w:sz w:val="24"/>
                <w:szCs w:val="24"/>
              </w:rPr>
              <w:t>评分因素</w:t>
            </w:r>
          </w:p>
          <w:p w14:paraId="2EF4C18B">
            <w:pPr>
              <w:pStyle w:val="6"/>
              <w:spacing w:line="320" w:lineRule="exact"/>
              <w:rPr>
                <w:rFonts w:hint="eastAsia" w:ascii="宋体" w:hAnsi="宋体" w:eastAsia="宋体" w:cs="宋体"/>
                <w:b/>
                <w:bCs/>
                <w:sz w:val="24"/>
                <w:szCs w:val="24"/>
              </w:rPr>
            </w:pPr>
            <w:r>
              <w:rPr>
                <w:rFonts w:hint="eastAsia" w:ascii="宋体" w:hAnsi="宋体" w:eastAsia="宋体" w:cs="宋体"/>
                <w:b/>
                <w:bCs/>
                <w:sz w:val="24"/>
                <w:szCs w:val="24"/>
              </w:rPr>
              <w:t>及权重</w:t>
            </w:r>
          </w:p>
        </w:tc>
        <w:tc>
          <w:tcPr>
            <w:tcW w:w="1065" w:type="dxa"/>
            <w:vAlign w:val="center"/>
          </w:tcPr>
          <w:p w14:paraId="02230594">
            <w:pPr>
              <w:pStyle w:val="6"/>
              <w:spacing w:line="320" w:lineRule="exact"/>
              <w:rPr>
                <w:rFonts w:hint="eastAsia" w:ascii="宋体" w:hAnsi="宋体" w:eastAsia="宋体" w:cs="宋体"/>
                <w:b/>
                <w:bCs/>
                <w:sz w:val="24"/>
                <w:szCs w:val="24"/>
              </w:rPr>
            </w:pPr>
            <w:r>
              <w:rPr>
                <w:rFonts w:hint="eastAsia" w:ascii="宋体" w:hAnsi="宋体" w:eastAsia="宋体" w:cs="宋体"/>
                <w:b/>
                <w:bCs/>
                <w:sz w:val="24"/>
                <w:szCs w:val="24"/>
              </w:rPr>
              <w:t>分值</w:t>
            </w:r>
          </w:p>
        </w:tc>
        <w:tc>
          <w:tcPr>
            <w:tcW w:w="5258" w:type="dxa"/>
            <w:vAlign w:val="center"/>
          </w:tcPr>
          <w:p w14:paraId="5E721AEF">
            <w:pPr>
              <w:pStyle w:val="6"/>
              <w:spacing w:line="320" w:lineRule="exact"/>
              <w:rPr>
                <w:rFonts w:hint="eastAsia" w:ascii="宋体" w:hAnsi="宋体" w:eastAsia="宋体" w:cs="宋体"/>
                <w:sz w:val="24"/>
                <w:szCs w:val="24"/>
              </w:rPr>
            </w:pPr>
            <w:r>
              <w:rPr>
                <w:rFonts w:hint="eastAsia" w:ascii="宋体" w:hAnsi="宋体" w:eastAsia="宋体" w:cs="宋体"/>
                <w:b/>
                <w:bCs/>
                <w:sz w:val="24"/>
                <w:szCs w:val="24"/>
              </w:rPr>
              <w:t>评分标准</w:t>
            </w:r>
          </w:p>
        </w:tc>
        <w:tc>
          <w:tcPr>
            <w:tcW w:w="883" w:type="dxa"/>
            <w:vAlign w:val="center"/>
          </w:tcPr>
          <w:p w14:paraId="22213664">
            <w:pPr>
              <w:pStyle w:val="6"/>
              <w:spacing w:line="320" w:lineRule="exact"/>
              <w:rPr>
                <w:rFonts w:hint="eastAsia" w:ascii="宋体" w:hAnsi="宋体" w:eastAsia="宋体" w:cs="宋体"/>
                <w:b/>
                <w:bCs/>
                <w:sz w:val="24"/>
                <w:szCs w:val="24"/>
              </w:rPr>
            </w:pPr>
            <w:r>
              <w:rPr>
                <w:rFonts w:hint="eastAsia" w:ascii="宋体" w:hAnsi="宋体" w:eastAsia="宋体" w:cs="宋体"/>
                <w:b/>
                <w:bCs/>
                <w:sz w:val="24"/>
                <w:szCs w:val="24"/>
              </w:rPr>
              <w:t>说明</w:t>
            </w:r>
          </w:p>
        </w:tc>
      </w:tr>
      <w:tr w14:paraId="4D8D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662" w:type="dxa"/>
            <w:vAlign w:val="center"/>
          </w:tcPr>
          <w:p w14:paraId="49B6604E">
            <w:pPr>
              <w:pStyle w:val="6"/>
              <w:spacing w:line="320" w:lineRule="exact"/>
              <w:rPr>
                <w:rFonts w:hint="eastAsia" w:ascii="宋体" w:hAnsi="宋体" w:eastAsia="宋体" w:cs="宋体"/>
                <w:sz w:val="24"/>
                <w:szCs w:val="24"/>
                <w:lang w:val="en-US" w:eastAsia="zh-CN"/>
              </w:rPr>
            </w:pPr>
            <w:r>
              <w:rPr>
                <w:rFonts w:hint="eastAsia" w:eastAsia="宋体" w:cs="宋体"/>
                <w:sz w:val="24"/>
                <w:szCs w:val="24"/>
                <w:lang w:val="en-US" w:eastAsia="zh-CN"/>
              </w:rPr>
              <w:t>1</w:t>
            </w:r>
          </w:p>
        </w:tc>
        <w:tc>
          <w:tcPr>
            <w:tcW w:w="1280" w:type="dxa"/>
            <w:vAlign w:val="center"/>
          </w:tcPr>
          <w:p w14:paraId="0EACD1A9">
            <w:pPr>
              <w:pStyle w:val="6"/>
              <w:spacing w:line="320" w:lineRule="exact"/>
              <w:rPr>
                <w:rFonts w:hint="eastAsia" w:ascii="宋体" w:hAnsi="宋体" w:eastAsia="宋体" w:cs="宋体"/>
                <w:sz w:val="24"/>
                <w:szCs w:val="24"/>
              </w:rPr>
            </w:pPr>
            <w:r>
              <w:rPr>
                <w:rFonts w:hint="eastAsia" w:ascii="宋体" w:hAnsi="宋体" w:eastAsia="宋体" w:cs="宋体"/>
                <w:sz w:val="24"/>
                <w:szCs w:val="24"/>
              </w:rPr>
              <w:t>报价</w:t>
            </w:r>
          </w:p>
        </w:tc>
        <w:tc>
          <w:tcPr>
            <w:tcW w:w="1065" w:type="dxa"/>
            <w:vAlign w:val="center"/>
          </w:tcPr>
          <w:p w14:paraId="06939299">
            <w:pPr>
              <w:pStyle w:val="6"/>
              <w:spacing w:line="320" w:lineRule="exact"/>
              <w:rPr>
                <w:rFonts w:hint="eastAsia" w:ascii="宋体" w:hAnsi="宋体" w:eastAsia="宋体" w:cs="宋体"/>
                <w:sz w:val="24"/>
                <w:szCs w:val="24"/>
              </w:rPr>
            </w:pPr>
            <w:r>
              <w:rPr>
                <w:rFonts w:hint="eastAsia" w:eastAsia="宋体" w:cs="宋体"/>
                <w:sz w:val="24"/>
                <w:szCs w:val="24"/>
                <w:lang w:val="en-US" w:eastAsia="zh-CN"/>
              </w:rPr>
              <w:t>40</w:t>
            </w:r>
            <w:r>
              <w:rPr>
                <w:rFonts w:hint="eastAsia" w:ascii="宋体" w:hAnsi="宋体" w:eastAsia="宋体" w:cs="宋体"/>
                <w:sz w:val="24"/>
                <w:szCs w:val="24"/>
              </w:rPr>
              <w:t>分</w:t>
            </w:r>
          </w:p>
        </w:tc>
        <w:tc>
          <w:tcPr>
            <w:tcW w:w="5258" w:type="dxa"/>
            <w:vAlign w:val="center"/>
          </w:tcPr>
          <w:p w14:paraId="10928A46">
            <w:pPr>
              <w:pStyle w:val="7"/>
              <w:numPr>
                <w:ilvl w:val="0"/>
                <w:numId w:val="1"/>
              </w:numPr>
              <w:adjustRightInd w:val="0"/>
              <w:snapToGrid w:val="0"/>
              <w:spacing w:line="320" w:lineRule="exact"/>
              <w:ind w:left="21" w:leftChars="10"/>
              <w:rPr>
                <w:rFonts w:hint="eastAsia" w:ascii="宋体" w:hAnsi="宋体" w:eastAsia="宋体" w:cs="宋体"/>
                <w:sz w:val="24"/>
                <w:szCs w:val="24"/>
                <w:lang w:eastAsia="zh-CN"/>
              </w:rPr>
            </w:pPr>
            <w:r>
              <w:rPr>
                <w:rFonts w:hint="eastAsia" w:ascii="宋体" w:hAnsi="宋体" w:eastAsia="宋体" w:cs="宋体"/>
                <w:sz w:val="24"/>
                <w:szCs w:val="24"/>
                <w:lang w:eastAsia="zh-CN"/>
              </w:rPr>
              <w:t>采用经评审的有效报价的算术平均值为基准价，计算公式为:S(基准价)=(al+......+an)/n，a为有效的投标报价。</w:t>
            </w:r>
          </w:p>
          <w:p w14:paraId="3886C1D5">
            <w:pPr>
              <w:pStyle w:val="7"/>
              <w:numPr>
                <w:ilvl w:val="0"/>
                <w:numId w:val="0"/>
              </w:numPr>
              <w:adjustRightInd w:val="0"/>
              <w:snapToGrid w:val="0"/>
              <w:spacing w:line="320" w:lineRule="exact"/>
              <w:rPr>
                <w:rFonts w:hint="eastAsia" w:ascii="宋体" w:hAnsi="宋体" w:eastAsia="宋体" w:cs="宋体"/>
                <w:sz w:val="24"/>
                <w:szCs w:val="24"/>
              </w:rPr>
            </w:pPr>
            <w:r>
              <w:rPr>
                <w:rFonts w:hint="eastAsia" w:ascii="宋体" w:hAnsi="宋体" w:eastAsia="宋体" w:cs="宋体"/>
                <w:sz w:val="24"/>
                <w:szCs w:val="24"/>
                <w:lang w:eastAsia="zh-CN"/>
              </w:rPr>
              <w:t>2、以基准价为准，经评审的有效报价等于基准价的得满分，经评审的有效报价与基准价相比，每高1%扣</w:t>
            </w:r>
            <w:r>
              <w:rPr>
                <w:rFonts w:hint="eastAsia" w:eastAsia="宋体" w:cs="宋体"/>
                <w:sz w:val="24"/>
                <w:szCs w:val="24"/>
                <w:lang w:val="en-US" w:eastAsia="zh-CN"/>
              </w:rPr>
              <w:t>1</w:t>
            </w:r>
            <w:r>
              <w:rPr>
                <w:rFonts w:hint="eastAsia" w:ascii="宋体" w:hAnsi="宋体" w:eastAsia="宋体" w:cs="宋体"/>
                <w:sz w:val="24"/>
                <w:szCs w:val="24"/>
                <w:lang w:eastAsia="zh-CN"/>
              </w:rPr>
              <w:t>分，每低1%扣</w:t>
            </w:r>
            <w:r>
              <w:rPr>
                <w:rFonts w:hint="eastAsia" w:eastAsia="宋体" w:cs="宋体"/>
                <w:sz w:val="24"/>
                <w:szCs w:val="24"/>
                <w:lang w:val="en-US" w:eastAsia="zh-CN"/>
              </w:rPr>
              <w:t>0.5</w:t>
            </w:r>
            <w:r>
              <w:rPr>
                <w:rFonts w:hint="eastAsia" w:ascii="宋体" w:hAnsi="宋体" w:eastAsia="宋体" w:cs="宋体"/>
                <w:sz w:val="24"/>
                <w:szCs w:val="24"/>
                <w:lang w:eastAsia="zh-CN"/>
              </w:rPr>
              <w:t>分。中间值用插入法进行计算，小数点后保留两位。偏差率计算公式:偏差率=100%X|(选取申请人报价-评标基准价)|/评标基准价。</w:t>
            </w:r>
          </w:p>
        </w:tc>
        <w:tc>
          <w:tcPr>
            <w:tcW w:w="883" w:type="dxa"/>
            <w:vAlign w:val="center"/>
          </w:tcPr>
          <w:p w14:paraId="1667DA97">
            <w:pPr>
              <w:pStyle w:val="6"/>
              <w:spacing w:line="320" w:lineRule="exact"/>
              <w:rPr>
                <w:rFonts w:hint="eastAsia" w:ascii="宋体" w:hAnsi="宋体" w:eastAsia="宋体" w:cs="宋体"/>
                <w:sz w:val="24"/>
                <w:szCs w:val="24"/>
              </w:rPr>
            </w:pPr>
          </w:p>
        </w:tc>
      </w:tr>
      <w:tr w14:paraId="0741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662" w:type="dxa"/>
            <w:vAlign w:val="center"/>
          </w:tcPr>
          <w:p w14:paraId="703EBC56">
            <w:pPr>
              <w:pStyle w:val="6"/>
              <w:spacing w:line="320" w:lineRule="exact"/>
              <w:rPr>
                <w:rFonts w:hint="eastAsia" w:ascii="宋体" w:hAnsi="宋体" w:eastAsia="宋体" w:cs="宋体"/>
                <w:sz w:val="24"/>
                <w:szCs w:val="24"/>
                <w:lang w:val="en-US" w:eastAsia="zh-CN"/>
              </w:rPr>
            </w:pPr>
            <w:r>
              <w:rPr>
                <w:rFonts w:hint="eastAsia" w:eastAsia="宋体" w:cs="宋体"/>
                <w:sz w:val="24"/>
                <w:szCs w:val="24"/>
                <w:lang w:val="en-US" w:eastAsia="zh-CN"/>
              </w:rPr>
              <w:t>2</w:t>
            </w:r>
          </w:p>
        </w:tc>
        <w:tc>
          <w:tcPr>
            <w:tcW w:w="1280" w:type="dxa"/>
            <w:vAlign w:val="center"/>
          </w:tcPr>
          <w:p w14:paraId="5CF3C9D5">
            <w:pPr>
              <w:pStyle w:val="6"/>
              <w:spacing w:line="320" w:lineRule="exact"/>
              <w:rPr>
                <w:rFonts w:hint="eastAsia" w:ascii="宋体" w:hAnsi="宋体" w:eastAsia="宋体" w:cs="宋体"/>
                <w:sz w:val="24"/>
                <w:szCs w:val="24"/>
              </w:rPr>
            </w:pPr>
            <w:r>
              <w:rPr>
                <w:rFonts w:hint="eastAsia" w:ascii="宋体" w:hAnsi="宋体" w:eastAsia="宋体" w:cs="宋体"/>
                <w:sz w:val="24"/>
                <w:szCs w:val="24"/>
              </w:rPr>
              <w:t>服务方案</w:t>
            </w:r>
          </w:p>
        </w:tc>
        <w:tc>
          <w:tcPr>
            <w:tcW w:w="1065" w:type="dxa"/>
            <w:vAlign w:val="center"/>
          </w:tcPr>
          <w:p w14:paraId="2877C863">
            <w:pPr>
              <w:pStyle w:val="6"/>
              <w:spacing w:line="320" w:lineRule="exact"/>
              <w:rPr>
                <w:rFonts w:hint="eastAsia" w:ascii="宋体" w:hAnsi="宋体" w:eastAsia="宋体" w:cs="宋体"/>
                <w:sz w:val="24"/>
                <w:szCs w:val="24"/>
              </w:rPr>
            </w:pPr>
            <w:r>
              <w:rPr>
                <w:rFonts w:hint="eastAsia" w:eastAsia="宋体" w:cs="宋体"/>
                <w:sz w:val="24"/>
                <w:szCs w:val="24"/>
                <w:lang w:val="en-US" w:eastAsia="zh-CN"/>
              </w:rPr>
              <w:t>35</w:t>
            </w:r>
            <w:r>
              <w:rPr>
                <w:rFonts w:hint="eastAsia" w:ascii="宋体" w:hAnsi="宋体" w:eastAsia="宋体" w:cs="宋体"/>
                <w:sz w:val="24"/>
                <w:szCs w:val="24"/>
              </w:rPr>
              <w:t>分</w:t>
            </w:r>
          </w:p>
        </w:tc>
        <w:tc>
          <w:tcPr>
            <w:tcW w:w="5258" w:type="dxa"/>
            <w:vAlign w:val="center"/>
          </w:tcPr>
          <w:p w14:paraId="750FF973">
            <w:pPr>
              <w:pStyle w:val="7"/>
              <w:numPr>
                <w:ilvl w:val="0"/>
                <w:numId w:val="2"/>
              </w:numPr>
              <w:adjustRightInd w:val="0"/>
              <w:snapToGrid w:val="0"/>
              <w:spacing w:line="320" w:lineRule="exact"/>
              <w:ind w:left="21" w:leftChars="10"/>
              <w:rPr>
                <w:rFonts w:hint="eastAsia" w:ascii="宋体" w:hAnsi="宋体" w:eastAsia="宋体" w:cs="宋体"/>
                <w:sz w:val="24"/>
                <w:szCs w:val="24"/>
              </w:rPr>
            </w:pPr>
            <w:r>
              <w:rPr>
                <w:rFonts w:hint="eastAsia" w:ascii="宋体" w:hAnsi="宋体" w:eastAsia="宋体" w:cs="宋体"/>
                <w:sz w:val="24"/>
                <w:szCs w:val="24"/>
              </w:rPr>
              <w:t>项目总体实施方案和工作步骤:根据选取申请人提供的招标代理服务方案中的项目总体实施方案和工作步骤内容。从内容是否完整与准确、时间是否安排合理、是否详细科学等进行综合评判。优得</w:t>
            </w:r>
            <w:r>
              <w:rPr>
                <w:rFonts w:hint="eastAsia" w:eastAsia="宋体" w:cs="宋体"/>
                <w:sz w:val="24"/>
                <w:szCs w:val="24"/>
                <w:lang w:val="en-US" w:eastAsia="zh-CN"/>
              </w:rPr>
              <w:t>7</w:t>
            </w:r>
            <w:r>
              <w:rPr>
                <w:rFonts w:hint="eastAsia" w:ascii="宋体" w:hAnsi="宋体" w:eastAsia="宋体" w:cs="宋体"/>
                <w:sz w:val="24"/>
                <w:szCs w:val="24"/>
              </w:rPr>
              <w:t>分，良得5分，一般得3分，差得</w:t>
            </w:r>
            <w:r>
              <w:rPr>
                <w:rFonts w:hint="eastAsia" w:eastAsia="宋体" w:cs="宋体"/>
                <w:sz w:val="24"/>
                <w:szCs w:val="24"/>
                <w:lang w:val="en-US" w:eastAsia="zh-CN"/>
              </w:rPr>
              <w:t>1</w:t>
            </w:r>
            <w:r>
              <w:rPr>
                <w:rFonts w:hint="eastAsia" w:ascii="宋体" w:hAnsi="宋体" w:eastAsia="宋体" w:cs="宋体"/>
                <w:sz w:val="24"/>
                <w:szCs w:val="24"/>
              </w:rPr>
              <w:t>分，无得0分。</w:t>
            </w:r>
          </w:p>
          <w:p w14:paraId="56DD8C5B">
            <w:pPr>
              <w:pStyle w:val="7"/>
              <w:numPr>
                <w:ilvl w:val="0"/>
                <w:numId w:val="0"/>
              </w:numPr>
              <w:adjustRightInd w:val="0"/>
              <w:snapToGrid w:val="0"/>
              <w:spacing w:line="320" w:lineRule="exact"/>
              <w:rPr>
                <w:rFonts w:hint="eastAsia" w:ascii="宋体" w:hAnsi="宋体" w:eastAsia="宋体" w:cs="宋体"/>
                <w:sz w:val="24"/>
                <w:szCs w:val="24"/>
              </w:rPr>
            </w:pPr>
            <w:r>
              <w:rPr>
                <w:rFonts w:hint="eastAsia" w:ascii="宋体" w:hAnsi="宋体" w:eastAsia="宋体" w:cs="宋体"/>
                <w:sz w:val="24"/>
                <w:szCs w:val="24"/>
              </w:rPr>
              <w:t>2、项目重点难点分析及解决方案:根据选取申请人提供的招标代理服务方案中的项目重点难点分析及解决方案内容。从内容是否完整与准确、解决方案是否有效、是否详细科学等进行综合评判。优得</w:t>
            </w:r>
            <w:r>
              <w:rPr>
                <w:rFonts w:hint="eastAsia" w:eastAsia="宋体" w:cs="宋体"/>
                <w:sz w:val="24"/>
                <w:szCs w:val="24"/>
                <w:lang w:val="en-US" w:eastAsia="zh-CN"/>
              </w:rPr>
              <w:t>7</w:t>
            </w:r>
            <w:r>
              <w:rPr>
                <w:rFonts w:hint="eastAsia" w:ascii="宋体" w:hAnsi="宋体" w:eastAsia="宋体" w:cs="宋体"/>
                <w:sz w:val="24"/>
                <w:szCs w:val="24"/>
              </w:rPr>
              <w:t>分，良得5分，一般得3分，差得</w:t>
            </w:r>
            <w:r>
              <w:rPr>
                <w:rFonts w:hint="eastAsia" w:eastAsia="宋体" w:cs="宋体"/>
                <w:sz w:val="24"/>
                <w:szCs w:val="24"/>
                <w:lang w:val="en-US" w:eastAsia="zh-CN"/>
              </w:rPr>
              <w:t>1</w:t>
            </w:r>
            <w:r>
              <w:rPr>
                <w:rFonts w:hint="eastAsia" w:ascii="宋体" w:hAnsi="宋体" w:eastAsia="宋体" w:cs="宋体"/>
                <w:sz w:val="24"/>
                <w:szCs w:val="24"/>
              </w:rPr>
              <w:t>分，无得0分。</w:t>
            </w:r>
          </w:p>
          <w:p w14:paraId="58497E9A">
            <w:pPr>
              <w:pStyle w:val="7"/>
              <w:adjustRightInd w:val="0"/>
              <w:snapToGrid w:val="0"/>
              <w:spacing w:line="320" w:lineRule="exact"/>
              <w:ind w:left="21" w:leftChars="10"/>
              <w:rPr>
                <w:rFonts w:hint="eastAsia" w:ascii="宋体" w:hAnsi="宋体" w:eastAsia="宋体" w:cs="宋体"/>
                <w:sz w:val="24"/>
                <w:szCs w:val="24"/>
              </w:rPr>
            </w:pPr>
            <w:r>
              <w:rPr>
                <w:rFonts w:hint="eastAsia" w:ascii="宋体" w:hAnsi="宋体" w:eastAsia="宋体" w:cs="宋体"/>
                <w:sz w:val="24"/>
                <w:szCs w:val="24"/>
              </w:rPr>
              <w:t>3、进度计划控制方案:根据选取申请人提供的招标代理服务方案中的进度计划控制方案内容。从内容是否完整与准确、控制方案是否合理、是否详细科学等进行综合评判。优得</w:t>
            </w:r>
            <w:r>
              <w:rPr>
                <w:rFonts w:hint="eastAsia" w:eastAsia="宋体" w:cs="宋体"/>
                <w:sz w:val="24"/>
                <w:szCs w:val="24"/>
                <w:lang w:val="en-US" w:eastAsia="zh-CN"/>
              </w:rPr>
              <w:t>7</w:t>
            </w:r>
            <w:r>
              <w:rPr>
                <w:rFonts w:hint="eastAsia" w:ascii="宋体" w:hAnsi="宋体" w:eastAsia="宋体" w:cs="宋体"/>
                <w:sz w:val="24"/>
                <w:szCs w:val="24"/>
              </w:rPr>
              <w:t>分，良得5分，一般得3分，差得</w:t>
            </w:r>
            <w:r>
              <w:rPr>
                <w:rFonts w:hint="eastAsia" w:eastAsia="宋体" w:cs="宋体"/>
                <w:sz w:val="24"/>
                <w:szCs w:val="24"/>
                <w:lang w:val="en-US" w:eastAsia="zh-CN"/>
              </w:rPr>
              <w:t>1</w:t>
            </w:r>
            <w:r>
              <w:rPr>
                <w:rFonts w:hint="eastAsia" w:ascii="宋体" w:hAnsi="宋体" w:eastAsia="宋体" w:cs="宋体"/>
                <w:sz w:val="24"/>
                <w:szCs w:val="24"/>
              </w:rPr>
              <w:t>分，无得0分。</w:t>
            </w:r>
          </w:p>
          <w:p w14:paraId="34ECCA48">
            <w:pPr>
              <w:pStyle w:val="7"/>
              <w:adjustRightInd w:val="0"/>
              <w:snapToGrid w:val="0"/>
              <w:spacing w:line="320" w:lineRule="exact"/>
              <w:ind w:left="21" w:leftChars="10"/>
              <w:rPr>
                <w:rFonts w:hint="eastAsia" w:ascii="宋体" w:hAnsi="宋体" w:eastAsia="宋体" w:cs="宋体"/>
                <w:sz w:val="24"/>
                <w:szCs w:val="24"/>
              </w:rPr>
            </w:pPr>
            <w:r>
              <w:rPr>
                <w:rFonts w:hint="eastAsia" w:ascii="宋体" w:hAnsi="宋体" w:eastAsia="宋体" w:cs="宋体"/>
                <w:sz w:val="24"/>
                <w:szCs w:val="24"/>
              </w:rPr>
              <w:t>4、档案管理方案:根据选取申请人提供的档案管理方案内容。档案管理是否合理、完整、切实可行等进行综合评判。优得</w:t>
            </w:r>
            <w:r>
              <w:rPr>
                <w:rFonts w:hint="eastAsia" w:eastAsia="宋体" w:cs="宋体"/>
                <w:sz w:val="24"/>
                <w:szCs w:val="24"/>
                <w:lang w:val="en-US" w:eastAsia="zh-CN"/>
              </w:rPr>
              <w:t>7</w:t>
            </w:r>
            <w:r>
              <w:rPr>
                <w:rFonts w:hint="eastAsia" w:ascii="宋体" w:hAnsi="宋体" w:eastAsia="宋体" w:cs="宋体"/>
                <w:sz w:val="24"/>
                <w:szCs w:val="24"/>
              </w:rPr>
              <w:t>分，良得5分，一般得3分，差得</w:t>
            </w:r>
            <w:r>
              <w:rPr>
                <w:rFonts w:hint="eastAsia" w:eastAsia="宋体" w:cs="宋体"/>
                <w:sz w:val="24"/>
                <w:szCs w:val="24"/>
                <w:lang w:val="en-US" w:eastAsia="zh-CN"/>
              </w:rPr>
              <w:t>1</w:t>
            </w:r>
            <w:r>
              <w:rPr>
                <w:rFonts w:hint="eastAsia" w:ascii="宋体" w:hAnsi="宋体" w:eastAsia="宋体" w:cs="宋体"/>
                <w:sz w:val="24"/>
                <w:szCs w:val="24"/>
              </w:rPr>
              <w:t>分，无得0分。</w:t>
            </w:r>
          </w:p>
          <w:p w14:paraId="5C958AB4">
            <w:pPr>
              <w:pStyle w:val="7"/>
              <w:adjustRightInd w:val="0"/>
              <w:snapToGrid w:val="0"/>
              <w:spacing w:line="320" w:lineRule="exact"/>
              <w:ind w:left="21" w:leftChars="10"/>
              <w:rPr>
                <w:rFonts w:hint="eastAsia" w:eastAsia="宋体"/>
                <w:color w:val="auto"/>
                <w:sz w:val="24"/>
                <w:szCs w:val="24"/>
                <w:highlight w:val="none"/>
                <w:lang w:val="en-US" w:eastAsia="zh-CN"/>
              </w:rPr>
            </w:pPr>
            <w:r>
              <w:rPr>
                <w:rFonts w:hint="eastAsia" w:ascii="宋体" w:hAnsi="宋体" w:eastAsia="宋体" w:cs="宋体"/>
                <w:sz w:val="24"/>
                <w:szCs w:val="24"/>
              </w:rPr>
              <w:t>5、保密措施:根据选取申请人提供的保密措施内容。保密措施是否详细、合理、满足选取人要求等进行综合评判。优得</w:t>
            </w:r>
            <w:r>
              <w:rPr>
                <w:rFonts w:hint="eastAsia" w:eastAsia="宋体" w:cs="宋体"/>
                <w:sz w:val="24"/>
                <w:szCs w:val="24"/>
                <w:lang w:val="en-US" w:eastAsia="zh-CN"/>
              </w:rPr>
              <w:t>7</w:t>
            </w:r>
            <w:r>
              <w:rPr>
                <w:rFonts w:hint="eastAsia" w:ascii="宋体" w:hAnsi="宋体" w:eastAsia="宋体" w:cs="宋体"/>
                <w:sz w:val="24"/>
                <w:szCs w:val="24"/>
              </w:rPr>
              <w:t>分，良得5分，一般得3分，差得</w:t>
            </w:r>
            <w:r>
              <w:rPr>
                <w:rFonts w:hint="eastAsia" w:eastAsia="宋体" w:cs="宋体"/>
                <w:sz w:val="24"/>
                <w:szCs w:val="24"/>
                <w:lang w:val="en-US" w:eastAsia="zh-CN"/>
              </w:rPr>
              <w:t>1</w:t>
            </w:r>
            <w:r>
              <w:rPr>
                <w:rFonts w:hint="eastAsia" w:ascii="宋体" w:hAnsi="宋体" w:eastAsia="宋体" w:cs="宋体"/>
                <w:sz w:val="24"/>
                <w:szCs w:val="24"/>
              </w:rPr>
              <w:t>分，无得0分。</w:t>
            </w:r>
          </w:p>
        </w:tc>
        <w:tc>
          <w:tcPr>
            <w:tcW w:w="883" w:type="dxa"/>
            <w:vAlign w:val="center"/>
          </w:tcPr>
          <w:p w14:paraId="5D50096F">
            <w:pPr>
              <w:pStyle w:val="6"/>
              <w:spacing w:line="320" w:lineRule="exact"/>
              <w:rPr>
                <w:rFonts w:hint="eastAsia" w:ascii="宋体" w:hAnsi="宋体" w:eastAsia="宋体" w:cs="宋体"/>
                <w:sz w:val="24"/>
                <w:szCs w:val="24"/>
              </w:rPr>
            </w:pPr>
          </w:p>
        </w:tc>
      </w:tr>
      <w:tr w14:paraId="6C7C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662" w:type="dxa"/>
            <w:vAlign w:val="center"/>
          </w:tcPr>
          <w:p w14:paraId="28E66CF4">
            <w:pPr>
              <w:pStyle w:val="6"/>
              <w:spacing w:line="320" w:lineRule="exact"/>
              <w:rPr>
                <w:rFonts w:hint="default" w:ascii="宋体" w:hAnsi="宋体" w:eastAsia="宋体" w:cs="宋体"/>
                <w:sz w:val="24"/>
                <w:szCs w:val="24"/>
                <w:lang w:val="en-US" w:eastAsia="zh-CN"/>
              </w:rPr>
            </w:pPr>
            <w:r>
              <w:rPr>
                <w:rFonts w:hint="eastAsia" w:eastAsia="宋体" w:cs="宋体"/>
                <w:sz w:val="24"/>
                <w:szCs w:val="24"/>
                <w:lang w:val="en-US" w:eastAsia="zh-CN"/>
              </w:rPr>
              <w:t>3</w:t>
            </w:r>
          </w:p>
        </w:tc>
        <w:tc>
          <w:tcPr>
            <w:tcW w:w="1280" w:type="dxa"/>
            <w:vAlign w:val="center"/>
          </w:tcPr>
          <w:p w14:paraId="3A3F0AFF">
            <w:pPr>
              <w:pStyle w:val="6"/>
              <w:spacing w:line="32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人员配备</w:t>
            </w:r>
          </w:p>
        </w:tc>
        <w:tc>
          <w:tcPr>
            <w:tcW w:w="1065" w:type="dxa"/>
            <w:vAlign w:val="center"/>
          </w:tcPr>
          <w:p w14:paraId="22890814">
            <w:pPr>
              <w:pStyle w:val="6"/>
              <w:spacing w:line="320" w:lineRule="exact"/>
              <w:rPr>
                <w:rFonts w:hint="default" w:ascii="宋体" w:hAnsi="宋体" w:eastAsia="宋体" w:cs="宋体"/>
                <w:sz w:val="24"/>
                <w:szCs w:val="24"/>
                <w:lang w:val="en-US" w:eastAsia="zh-CN"/>
              </w:rPr>
            </w:pPr>
            <w:r>
              <w:rPr>
                <w:rFonts w:hint="eastAsia" w:eastAsia="宋体" w:cs="宋体"/>
                <w:sz w:val="24"/>
                <w:szCs w:val="24"/>
                <w:lang w:val="en-US" w:eastAsia="zh-CN"/>
              </w:rPr>
              <w:t>15</w:t>
            </w:r>
            <w:r>
              <w:rPr>
                <w:rFonts w:hint="eastAsia" w:ascii="宋体" w:hAnsi="宋体" w:eastAsia="宋体" w:cs="宋体"/>
                <w:sz w:val="24"/>
                <w:szCs w:val="24"/>
                <w:lang w:val="en-US" w:eastAsia="zh-CN"/>
              </w:rPr>
              <w:t>分</w:t>
            </w:r>
          </w:p>
        </w:tc>
        <w:tc>
          <w:tcPr>
            <w:tcW w:w="5258" w:type="dxa"/>
            <w:vAlign w:val="center"/>
          </w:tcPr>
          <w:p w14:paraId="2CABFBC3">
            <w:pPr>
              <w:keepNext w:val="0"/>
              <w:keepLines w:val="0"/>
              <w:widowControl/>
              <w:numPr>
                <w:ilvl w:val="0"/>
                <w:numId w:val="3"/>
              </w:numPr>
              <w:suppressLineNumbers w:val="0"/>
              <w:jc w:val="left"/>
              <w:rPr>
                <w:rFonts w:hint="eastAsia" w:ascii="宋体" w:hAnsi="宋体" w:eastAsia="宋体" w:cs="宋体"/>
                <w:sz w:val="24"/>
                <w:szCs w:val="24"/>
              </w:rPr>
            </w:pPr>
            <w:r>
              <w:rPr>
                <w:rFonts w:hint="eastAsia" w:ascii="宋体" w:hAnsi="宋体" w:eastAsia="宋体" w:cs="宋体"/>
                <w:sz w:val="24"/>
                <w:szCs w:val="24"/>
              </w:rPr>
              <w:t>项目负责人:具有招标从业人员资格证或招标从业人员资。格章或具有工程建设类专业技术人员执业资格(准入类)得4分，具有中级工程师或以上职称加2分，本项满分6分。</w:t>
            </w:r>
          </w:p>
          <w:p w14:paraId="1D126402">
            <w:pPr>
              <w:keepNext w:val="0"/>
              <w:keepLines w:val="0"/>
              <w:widowControl/>
              <w:numPr>
                <w:ilvl w:val="0"/>
                <w:numId w:val="3"/>
              </w:numPr>
              <w:suppressLineNumbers w:val="0"/>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技术负责人:具有招标从业人员资格证或招标从业人员资格章或具有工程建设类专业技术人员执业资格(准入类)得3分，具有中级工程师或以上职称加2分，本项满分5分。</w:t>
            </w:r>
          </w:p>
          <w:p w14:paraId="03124360">
            <w:pPr>
              <w:keepNext w:val="0"/>
              <w:keepLines w:val="0"/>
              <w:widowControl/>
              <w:numPr>
                <w:numId w:val="0"/>
              </w:numPr>
              <w:suppressLineNumbers w:val="0"/>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、专业技术人员:每配备1名具有招标从业人员资格证或招标从业人员资格章或具有工程建设类专业技术人员执业资格(准入类)得2分，本项满分4分。</w:t>
            </w:r>
          </w:p>
          <w:p w14:paraId="18EF1E57">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z w:val="24"/>
                <w:szCs w:val="24"/>
              </w:rPr>
              <w:t>注:(1)以上人员不重复计算，须提供上述人员相关证书复印件并且执业资格证须注册在选取申请人本单位，以及身份证复印件并加盖公章;所有资料应清晰可辨，模糊或无法辨认不予认可，否则不得分。未提供或提供不全的，不得分。(2)社保缴费证明是指:由社保部门出具的主要人员在该选取申请人单位最近6个月连续缴费证明，从选取文件开始下载时间的上一个月或上上个月起算，往前推6个月的连续、不间断的缴费证明，企业设立不足6个月的可少于6个月;退休人员提供退休证明及返聘协议资料，无需提供社保缴费证明;新聘人员提供至少1个月在该选取申请人单位的社保缴费证明并提供聘用合同。。</w:t>
            </w:r>
          </w:p>
        </w:tc>
        <w:tc>
          <w:tcPr>
            <w:tcW w:w="883" w:type="dxa"/>
            <w:vAlign w:val="center"/>
          </w:tcPr>
          <w:p w14:paraId="29FBBED3">
            <w:pPr>
              <w:pStyle w:val="6"/>
              <w:spacing w:line="320" w:lineRule="exact"/>
              <w:rPr>
                <w:rFonts w:hint="eastAsia" w:ascii="宋体" w:hAnsi="宋体" w:eastAsia="宋体" w:cs="宋体"/>
                <w:sz w:val="24"/>
                <w:szCs w:val="24"/>
              </w:rPr>
            </w:pPr>
          </w:p>
        </w:tc>
      </w:tr>
      <w:tr w14:paraId="4F44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662" w:type="dxa"/>
            <w:vAlign w:val="center"/>
          </w:tcPr>
          <w:p w14:paraId="6AFB6E28">
            <w:pPr>
              <w:pStyle w:val="6"/>
              <w:spacing w:line="320" w:lineRule="exact"/>
              <w:rPr>
                <w:rFonts w:hint="default" w:ascii="宋体" w:hAnsi="宋体" w:eastAsia="宋体" w:cs="宋体"/>
                <w:sz w:val="24"/>
                <w:szCs w:val="24"/>
                <w:lang w:val="en-US" w:eastAsia="zh-CN"/>
              </w:rPr>
            </w:pPr>
            <w:r>
              <w:rPr>
                <w:rFonts w:hint="eastAsia" w:eastAsia="宋体" w:cs="宋体"/>
                <w:sz w:val="24"/>
                <w:szCs w:val="24"/>
                <w:lang w:val="en-US" w:eastAsia="zh-CN"/>
              </w:rPr>
              <w:t>4</w:t>
            </w:r>
          </w:p>
        </w:tc>
        <w:tc>
          <w:tcPr>
            <w:tcW w:w="1280" w:type="dxa"/>
            <w:vAlign w:val="center"/>
          </w:tcPr>
          <w:p w14:paraId="26A1AA6B">
            <w:pPr>
              <w:pStyle w:val="6"/>
              <w:spacing w:line="320" w:lineRule="exact"/>
              <w:rPr>
                <w:rFonts w:hint="default" w:ascii="宋体" w:hAnsi="宋体" w:eastAsia="宋体" w:cs="宋体"/>
                <w:sz w:val="24"/>
                <w:szCs w:val="24"/>
                <w:lang w:val="en-US" w:eastAsia="zh-CN"/>
              </w:rPr>
            </w:pPr>
            <w:r>
              <w:rPr>
                <w:rFonts w:hint="eastAsia" w:eastAsia="宋体" w:cs="宋体"/>
                <w:sz w:val="24"/>
                <w:szCs w:val="24"/>
                <w:lang w:val="en-US" w:eastAsia="zh-CN"/>
              </w:rPr>
              <w:t>类似业绩</w:t>
            </w:r>
          </w:p>
        </w:tc>
        <w:tc>
          <w:tcPr>
            <w:tcW w:w="1065" w:type="dxa"/>
            <w:vAlign w:val="center"/>
          </w:tcPr>
          <w:p w14:paraId="6478EC97">
            <w:pPr>
              <w:pStyle w:val="6"/>
              <w:spacing w:line="32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eastAsia="宋体" w:cs="宋体"/>
                <w:sz w:val="24"/>
                <w:szCs w:val="24"/>
                <w:lang w:val="en-US" w:eastAsia="zh-CN"/>
              </w:rPr>
              <w:t>0</w:t>
            </w:r>
            <w:r>
              <w:rPr>
                <w:rFonts w:hint="eastAsia" w:ascii="宋体" w:hAnsi="宋体" w:eastAsia="宋体" w:cs="宋体"/>
                <w:sz w:val="24"/>
                <w:szCs w:val="24"/>
                <w:lang w:val="en-US" w:eastAsia="zh-CN"/>
              </w:rPr>
              <w:t>分</w:t>
            </w:r>
          </w:p>
        </w:tc>
        <w:tc>
          <w:tcPr>
            <w:tcW w:w="5258" w:type="dxa"/>
            <w:vAlign w:val="center"/>
          </w:tcPr>
          <w:p w14:paraId="7F937820">
            <w:pPr>
              <w:pStyle w:val="7"/>
              <w:numPr>
                <w:numId w:val="0"/>
              </w:numPr>
              <w:adjustRightInd w:val="0"/>
              <w:snapToGrid w:val="0"/>
              <w:spacing w:line="320" w:lineRule="exact"/>
              <w:ind w:leftChars="0"/>
              <w:rPr>
                <w:rFonts w:hint="eastAsia" w:ascii="宋体" w:hAnsi="宋体" w:eastAsia="宋体" w:cs="宋体"/>
                <w:sz w:val="24"/>
                <w:szCs w:val="24"/>
              </w:rPr>
            </w:pPr>
            <w:r>
              <w:rPr>
                <w:rFonts w:hint="eastAsia" w:eastAsia="宋体" w:cs="宋体"/>
                <w:sz w:val="24"/>
                <w:szCs w:val="24"/>
                <w:lang w:val="en-US" w:eastAsia="zh-CN"/>
              </w:rPr>
              <w:t>1.</w:t>
            </w:r>
            <w:r>
              <w:rPr>
                <w:rFonts w:hint="eastAsia" w:ascii="宋体" w:hAnsi="宋体" w:eastAsia="宋体" w:cs="宋体"/>
                <w:sz w:val="24"/>
                <w:szCs w:val="24"/>
              </w:rPr>
              <w:t>投标人2023年</w:t>
            </w:r>
            <w:r>
              <w:rPr>
                <w:rFonts w:hint="eastAsia" w:eastAsia="宋体" w:cs="宋体"/>
                <w:sz w:val="24"/>
                <w:szCs w:val="24"/>
                <w:lang w:val="en-US" w:eastAsia="zh-CN"/>
              </w:rPr>
              <w:t>5</w:t>
            </w:r>
            <w:r>
              <w:rPr>
                <w:rFonts w:hint="eastAsia" w:ascii="宋体" w:hAnsi="宋体" w:eastAsia="宋体" w:cs="宋体"/>
                <w:sz w:val="24"/>
                <w:szCs w:val="24"/>
              </w:rPr>
              <w:t>月1日（含）至今每具有1个招标代理（货物类</w:t>
            </w:r>
            <w:r>
              <w:rPr>
                <w:rFonts w:hint="eastAsia" w:eastAsia="宋体" w:cs="宋体"/>
                <w:sz w:val="24"/>
                <w:szCs w:val="24"/>
                <w:lang w:val="en-US" w:eastAsia="zh-CN"/>
              </w:rPr>
              <w:t>或</w:t>
            </w:r>
            <w:r>
              <w:rPr>
                <w:rFonts w:hint="eastAsia" w:ascii="宋体" w:hAnsi="宋体" w:eastAsia="宋体" w:cs="宋体"/>
                <w:sz w:val="24"/>
                <w:szCs w:val="24"/>
              </w:rPr>
              <w:t>服务类）业绩得</w:t>
            </w:r>
            <w:r>
              <w:rPr>
                <w:rFonts w:hint="eastAsia" w:eastAsia="宋体" w:cs="宋体"/>
                <w:sz w:val="24"/>
                <w:szCs w:val="24"/>
                <w:lang w:val="en-US" w:eastAsia="zh-CN"/>
              </w:rPr>
              <w:t>5</w:t>
            </w:r>
            <w:r>
              <w:rPr>
                <w:rFonts w:hint="eastAsia" w:ascii="宋体" w:hAnsi="宋体" w:eastAsia="宋体" w:cs="宋体"/>
                <w:sz w:val="24"/>
                <w:szCs w:val="24"/>
              </w:rPr>
              <w:t>分，本项最多得</w:t>
            </w:r>
            <w:r>
              <w:rPr>
                <w:rFonts w:hint="eastAsia" w:eastAsia="宋体" w:cs="宋体"/>
                <w:sz w:val="24"/>
                <w:szCs w:val="24"/>
                <w:lang w:val="en-US" w:eastAsia="zh-CN"/>
              </w:rPr>
              <w:t>5</w:t>
            </w:r>
            <w:r>
              <w:rPr>
                <w:rFonts w:hint="eastAsia" w:ascii="宋体" w:hAnsi="宋体" w:eastAsia="宋体" w:cs="宋体"/>
                <w:sz w:val="24"/>
                <w:szCs w:val="24"/>
              </w:rPr>
              <w:t>分。</w:t>
            </w:r>
          </w:p>
          <w:p w14:paraId="439511CB">
            <w:pPr>
              <w:pStyle w:val="7"/>
              <w:numPr>
                <w:ilvl w:val="0"/>
                <w:numId w:val="0"/>
              </w:numPr>
              <w:adjustRightInd w:val="0"/>
              <w:snapToGrid w:val="0"/>
              <w:spacing w:line="320" w:lineRule="exact"/>
              <w:ind w:left="0" w:leftChars="0" w:firstLine="0" w:firstLineChars="0"/>
              <w:rPr>
                <w:rFonts w:hint="eastAsia" w:ascii="宋体" w:hAnsi="宋体" w:eastAsia="宋体" w:cs="宋体"/>
                <w:sz w:val="24"/>
                <w:szCs w:val="24"/>
              </w:rPr>
            </w:pPr>
            <w:r>
              <w:rPr>
                <w:rFonts w:hint="eastAsia" w:eastAsia="宋体" w:cs="宋体"/>
                <w:sz w:val="24"/>
                <w:szCs w:val="24"/>
                <w:lang w:val="en-US" w:eastAsia="zh-CN"/>
              </w:rPr>
              <w:t>2.</w:t>
            </w:r>
            <w:r>
              <w:rPr>
                <w:rFonts w:hint="eastAsia" w:ascii="宋体" w:hAnsi="宋体" w:eastAsia="宋体" w:cs="宋体"/>
                <w:sz w:val="24"/>
                <w:szCs w:val="24"/>
              </w:rPr>
              <w:t>投标人2023年</w:t>
            </w:r>
            <w:r>
              <w:rPr>
                <w:rFonts w:hint="eastAsia" w:eastAsia="宋体" w:cs="宋体"/>
                <w:sz w:val="24"/>
                <w:szCs w:val="24"/>
                <w:lang w:val="en-US" w:eastAsia="zh-CN"/>
              </w:rPr>
              <w:t>5</w:t>
            </w:r>
            <w:r>
              <w:rPr>
                <w:rFonts w:hint="eastAsia" w:ascii="宋体" w:hAnsi="宋体" w:eastAsia="宋体" w:cs="宋体"/>
                <w:sz w:val="24"/>
                <w:szCs w:val="24"/>
              </w:rPr>
              <w:t>月1日（含）至今每具有1个招标代理（</w:t>
            </w:r>
            <w:r>
              <w:rPr>
                <w:rFonts w:hint="eastAsia" w:eastAsia="宋体" w:cs="宋体"/>
                <w:sz w:val="24"/>
                <w:szCs w:val="24"/>
                <w:lang w:val="en-US" w:eastAsia="zh-CN"/>
              </w:rPr>
              <w:t>工程</w:t>
            </w:r>
            <w:r>
              <w:rPr>
                <w:rFonts w:hint="eastAsia" w:ascii="宋体" w:hAnsi="宋体" w:eastAsia="宋体" w:cs="宋体"/>
                <w:sz w:val="24"/>
                <w:szCs w:val="24"/>
              </w:rPr>
              <w:t>类）业绩得</w:t>
            </w:r>
            <w:r>
              <w:rPr>
                <w:rFonts w:hint="eastAsia" w:eastAsia="宋体" w:cs="宋体"/>
                <w:sz w:val="24"/>
                <w:szCs w:val="24"/>
                <w:lang w:val="en-US" w:eastAsia="zh-CN"/>
              </w:rPr>
              <w:t>5</w:t>
            </w:r>
            <w:r>
              <w:rPr>
                <w:rFonts w:hint="eastAsia" w:ascii="宋体" w:hAnsi="宋体" w:eastAsia="宋体" w:cs="宋体"/>
                <w:sz w:val="24"/>
                <w:szCs w:val="24"/>
              </w:rPr>
              <w:t>分，本项最多得</w:t>
            </w:r>
            <w:r>
              <w:rPr>
                <w:rFonts w:hint="eastAsia" w:eastAsia="宋体" w:cs="宋体"/>
                <w:sz w:val="24"/>
                <w:szCs w:val="24"/>
                <w:lang w:val="en-US" w:eastAsia="zh-CN"/>
              </w:rPr>
              <w:t>5</w:t>
            </w:r>
            <w:r>
              <w:rPr>
                <w:rFonts w:hint="eastAsia" w:ascii="宋体" w:hAnsi="宋体" w:eastAsia="宋体" w:cs="宋体"/>
                <w:sz w:val="24"/>
                <w:szCs w:val="24"/>
              </w:rPr>
              <w:t>分。</w:t>
            </w:r>
          </w:p>
          <w:p w14:paraId="7A9E1AA6">
            <w:pPr>
              <w:pStyle w:val="7"/>
              <w:numPr>
                <w:ilvl w:val="0"/>
                <w:numId w:val="0"/>
              </w:numPr>
              <w:adjustRightInd w:val="0"/>
              <w:snapToGrid w:val="0"/>
              <w:spacing w:line="32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t>注：业绩证明材料须提供委托代理合同或中标/成交通知书复印件，并加盖公章。</w:t>
            </w:r>
          </w:p>
        </w:tc>
        <w:tc>
          <w:tcPr>
            <w:tcW w:w="883" w:type="dxa"/>
            <w:vAlign w:val="center"/>
          </w:tcPr>
          <w:p w14:paraId="68FFDBE7">
            <w:pPr>
              <w:pStyle w:val="6"/>
              <w:spacing w:line="320" w:lineRule="exact"/>
              <w:rPr>
                <w:rFonts w:hint="eastAsia" w:ascii="宋体" w:hAnsi="宋体" w:eastAsia="宋体" w:cs="宋体"/>
                <w:sz w:val="24"/>
                <w:szCs w:val="24"/>
              </w:rPr>
            </w:pPr>
          </w:p>
        </w:tc>
      </w:tr>
    </w:tbl>
    <w:p w14:paraId="0A0C0AB6">
      <w:pPr>
        <w:rPr>
          <w:rFonts w:eastAsia="黑体" w:cs="黑体"/>
          <w:b/>
          <w:bCs/>
          <w:sz w:val="32"/>
          <w:szCs w:val="32"/>
        </w:rPr>
      </w:pPr>
    </w:p>
    <w:p w14:paraId="49960B8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A3E14"/>
    <w:multiLevelType w:val="singleLevel"/>
    <w:tmpl w:val="A9DA3E14"/>
    <w:lvl w:ilvl="0" w:tentative="0">
      <w:start w:val="1"/>
      <w:numFmt w:val="decimal"/>
      <w:suff w:val="nothing"/>
      <w:lvlText w:val="%1、"/>
      <w:lvlJc w:val="left"/>
    </w:lvl>
  </w:abstractNum>
  <w:abstractNum w:abstractNumId="1">
    <w:nsid w:val="213254B1"/>
    <w:multiLevelType w:val="singleLevel"/>
    <w:tmpl w:val="213254B1"/>
    <w:lvl w:ilvl="0" w:tentative="0">
      <w:start w:val="1"/>
      <w:numFmt w:val="decimal"/>
      <w:suff w:val="nothing"/>
      <w:lvlText w:val="%1、"/>
      <w:lvlJc w:val="left"/>
    </w:lvl>
  </w:abstractNum>
  <w:abstractNum w:abstractNumId="2">
    <w:nsid w:val="440C20D9"/>
    <w:multiLevelType w:val="singleLevel"/>
    <w:tmpl w:val="440C20D9"/>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51338A"/>
    <w:rsid w:val="0C51338A"/>
    <w:rsid w:val="0F694CC8"/>
    <w:rsid w:val="11001706"/>
    <w:rsid w:val="1BBC0904"/>
    <w:rsid w:val="23B13D75"/>
    <w:rsid w:val="2EF324D7"/>
    <w:rsid w:val="302D4B96"/>
    <w:rsid w:val="31132938"/>
    <w:rsid w:val="49803325"/>
    <w:rsid w:val="4C516081"/>
    <w:rsid w:val="503B350C"/>
    <w:rsid w:val="556F7038"/>
    <w:rsid w:val="58543C7C"/>
    <w:rsid w:val="5BA34735"/>
    <w:rsid w:val="5CD1707F"/>
    <w:rsid w:val="6166248C"/>
    <w:rsid w:val="66FF32FF"/>
    <w:rsid w:val="6BE65C14"/>
    <w:rsid w:val="70F00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character" w:styleId="5">
    <w:name w:val="Strong"/>
    <w:basedOn w:val="4"/>
    <w:qFormat/>
    <w:uiPriority w:val="0"/>
    <w:rPr>
      <w:b/>
    </w:rPr>
  </w:style>
  <w:style w:type="paragraph" w:customStyle="1" w:styleId="6">
    <w:name w:val="13、表格内居中正文"/>
    <w:basedOn w:val="1"/>
    <w:autoRedefine/>
    <w:qFormat/>
    <w:uiPriority w:val="0"/>
    <w:pPr>
      <w:tabs>
        <w:tab w:val="left" w:pos="0"/>
      </w:tabs>
      <w:wordWrap w:val="0"/>
      <w:topLinePunct/>
      <w:spacing w:line="360" w:lineRule="exact"/>
      <w:jc w:val="center"/>
    </w:pPr>
    <w:rPr>
      <w:rFonts w:ascii="宋体" w:hAnsi="宋体"/>
    </w:rPr>
  </w:style>
  <w:style w:type="paragraph" w:customStyle="1" w:styleId="7">
    <w:name w:val="12、表格内左对齐正文"/>
    <w:basedOn w:val="1"/>
    <w:autoRedefine/>
    <w:qFormat/>
    <w:uiPriority w:val="0"/>
    <w:pPr>
      <w:tabs>
        <w:tab w:val="left" w:pos="0"/>
      </w:tabs>
      <w:wordWrap w:val="0"/>
      <w:topLinePunct/>
      <w:spacing w:line="360" w:lineRule="exact"/>
      <w:ind w:left="48" w:leftChars="20"/>
    </w:pPr>
    <w:rPr>
      <w:rFonts w:ascii="宋体" w:hAnsi="宋体"/>
      <w:snapToGrid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1356</Words>
  <Characters>1404</Characters>
  <Lines>0</Lines>
  <Paragraphs>0</Paragraphs>
  <TotalTime>4</TotalTime>
  <ScaleCrop>false</ScaleCrop>
  <LinksUpToDate>false</LinksUpToDate>
  <CharactersWithSpaces>1404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2026-02-02T00:45:00Z</dcterms:created>
  <dc:creator>胡祺</dc:creator>
  <cp:lastModifiedBy>熊杰迪</cp:lastModifiedBy>
  <dcterms:modified xsi:type="dcterms:W3CDTF">2026-05-20T02:34:36Z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2472BA5180834B07A50D139EB430513C_13</vt:lpwstr>
  </property>
  <property fmtid="{D5CDD505-2E9C-101B-9397-08002B2CF9AE}" pid="4" name="KSOTemplateDocerSaveRecord">
    <vt:lpwstr>eyJoZGlkIjoiNmVjMGIxNmYwMzM1NzllNWUyMTBjMDJiZDFjYjQxY2QiLCJ1c2VySWQiOiIxNjc5MjY3Mzk4In0=</vt:lpwstr>
  </property>
</Properties>
</file>