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CA97E">
      <w:pPr>
        <w:jc w:val="center"/>
        <w:rPr>
          <w:rFonts w:hint="eastAsia" w:ascii="仿宋_GB2312" w:hAnsi="仿宋_GB2312" w:eastAsia="仿宋_GB2312" w:cs="仿宋_GB2312"/>
          <w:b/>
          <w:bCs/>
          <w:kern w:val="2"/>
          <w:sz w:val="44"/>
          <w:szCs w:val="44"/>
          <w:lang w:val="en-US" w:eastAsia="zh-CN" w:bidi="ar-SA"/>
        </w:rPr>
      </w:pPr>
      <w:r>
        <w:rPr>
          <w:rFonts w:hint="eastAsia" w:ascii="仿宋_GB2312" w:hAnsi="仿宋_GB2312" w:eastAsia="仿宋_GB2312" w:cs="仿宋_GB2312"/>
          <w:b/>
          <w:bCs/>
          <w:kern w:val="2"/>
          <w:sz w:val="44"/>
          <w:szCs w:val="44"/>
          <w:lang w:val="en-US" w:eastAsia="zh-CN" w:bidi="ar-SA"/>
        </w:rPr>
        <w:t xml:space="preserve">  2024年下半年产品包装设采购项目</w:t>
      </w:r>
    </w:p>
    <w:p w14:paraId="2A3371B4">
      <w:pPr>
        <w:jc w:val="center"/>
        <w:rPr>
          <w:rFonts w:hint="eastAsia" w:ascii="仿宋_GB2312" w:hAnsi="仿宋_GB2312" w:eastAsia="仿宋_GB2312" w:cs="仿宋_GB2312"/>
          <w:b/>
          <w:bCs/>
          <w:kern w:val="2"/>
          <w:sz w:val="44"/>
          <w:szCs w:val="44"/>
          <w:lang w:val="en-US" w:eastAsia="zh-CN" w:bidi="ar-SA"/>
        </w:rPr>
      </w:pPr>
      <w:r>
        <w:rPr>
          <w:rFonts w:hint="eastAsia" w:ascii="仿宋_GB2312" w:hAnsi="仿宋_GB2312" w:eastAsia="仿宋_GB2312" w:cs="仿宋_GB2312"/>
          <w:b/>
          <w:bCs/>
          <w:kern w:val="2"/>
          <w:sz w:val="44"/>
          <w:szCs w:val="44"/>
          <w:lang w:val="en-US" w:eastAsia="zh-CN" w:bidi="ar-SA"/>
        </w:rPr>
        <w:t>评分标准</w:t>
      </w:r>
    </w:p>
    <w:p w14:paraId="1C641E1E">
      <w:pPr>
        <w:pStyle w:val="4"/>
      </w:pPr>
    </w:p>
    <w:tbl>
      <w:tblPr>
        <w:tblStyle w:val="5"/>
        <w:tblW w:w="9630" w:type="dxa"/>
        <w:tblInd w:w="-141"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fixed"/>
        <w:tblCellMar>
          <w:top w:w="0" w:type="dxa"/>
          <w:left w:w="10" w:type="dxa"/>
          <w:bottom w:w="0" w:type="dxa"/>
          <w:right w:w="10" w:type="dxa"/>
        </w:tblCellMar>
      </w:tblPr>
      <w:tblGrid>
        <w:gridCol w:w="900"/>
        <w:gridCol w:w="1545"/>
        <w:gridCol w:w="993"/>
        <w:gridCol w:w="6192"/>
      </w:tblGrid>
      <w:tr w14:paraId="0F095441">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607" w:hRule="atLeast"/>
        </w:trPr>
        <w:tc>
          <w:tcPr>
            <w:tcW w:w="900" w:type="dxa"/>
            <w:noWrap w:val="0"/>
            <w:tcMar>
              <w:left w:w="108" w:type="dxa"/>
              <w:right w:w="108" w:type="dxa"/>
            </w:tcMar>
            <w:vAlign w:val="center"/>
          </w:tcPr>
          <w:p w14:paraId="2D1DFC19">
            <w:pPr>
              <w:spacing w:line="360" w:lineRule="auto"/>
              <w:jc w:val="center"/>
              <w:rPr>
                <w:rFonts w:hint="eastAsia" w:ascii="宋体" w:hAnsi="宋体" w:cs="宋体"/>
                <w:b/>
                <w:bCs/>
                <w:kern w:val="1"/>
                <w:szCs w:val="21"/>
              </w:rPr>
            </w:pPr>
            <w:r>
              <w:rPr>
                <w:rFonts w:hint="eastAsia" w:ascii="宋体" w:hAnsi="宋体" w:cs="宋体"/>
                <w:b/>
                <w:bCs/>
                <w:kern w:val="1"/>
                <w:szCs w:val="21"/>
              </w:rPr>
              <w:t>序号</w:t>
            </w:r>
          </w:p>
        </w:tc>
        <w:tc>
          <w:tcPr>
            <w:tcW w:w="1545" w:type="dxa"/>
            <w:noWrap w:val="0"/>
            <w:vAlign w:val="center"/>
          </w:tcPr>
          <w:p w14:paraId="2CD22A1A">
            <w:pPr>
              <w:spacing w:line="360" w:lineRule="auto"/>
              <w:jc w:val="center"/>
              <w:rPr>
                <w:rFonts w:hint="eastAsia" w:ascii="宋体" w:hAnsi="宋体" w:cs="宋体"/>
                <w:b/>
                <w:bCs/>
                <w:kern w:val="1"/>
                <w:szCs w:val="21"/>
              </w:rPr>
            </w:pPr>
            <w:r>
              <w:rPr>
                <w:rFonts w:hint="eastAsia" w:ascii="宋体" w:hAnsi="宋体" w:cs="宋体"/>
                <w:b/>
                <w:bCs/>
                <w:kern w:val="1"/>
                <w:szCs w:val="21"/>
              </w:rPr>
              <w:t>评分因素</w:t>
            </w:r>
          </w:p>
        </w:tc>
        <w:tc>
          <w:tcPr>
            <w:tcW w:w="993" w:type="dxa"/>
            <w:noWrap w:val="0"/>
            <w:vAlign w:val="center"/>
          </w:tcPr>
          <w:p w14:paraId="5FE82285">
            <w:pPr>
              <w:spacing w:line="360" w:lineRule="auto"/>
              <w:jc w:val="center"/>
              <w:rPr>
                <w:rFonts w:hint="eastAsia" w:ascii="宋体" w:hAnsi="宋体" w:cs="宋体"/>
                <w:b/>
                <w:bCs/>
                <w:kern w:val="1"/>
                <w:szCs w:val="21"/>
              </w:rPr>
            </w:pPr>
            <w:r>
              <w:rPr>
                <w:rFonts w:hint="eastAsia" w:ascii="宋体" w:hAnsi="宋体" w:cs="宋体"/>
                <w:b/>
                <w:bCs/>
                <w:kern w:val="1"/>
                <w:szCs w:val="21"/>
              </w:rPr>
              <w:t>分值</w:t>
            </w:r>
          </w:p>
        </w:tc>
        <w:tc>
          <w:tcPr>
            <w:tcW w:w="6192" w:type="dxa"/>
            <w:noWrap w:val="0"/>
            <w:vAlign w:val="center"/>
          </w:tcPr>
          <w:p w14:paraId="4B06BC5A">
            <w:pPr>
              <w:spacing w:line="360" w:lineRule="auto"/>
              <w:ind w:firstLine="211" w:firstLineChars="100"/>
              <w:jc w:val="center"/>
              <w:rPr>
                <w:rFonts w:hint="eastAsia" w:ascii="宋体" w:hAnsi="宋体" w:cs="宋体"/>
                <w:b/>
                <w:bCs/>
                <w:kern w:val="1"/>
                <w:szCs w:val="21"/>
              </w:rPr>
            </w:pPr>
            <w:r>
              <w:rPr>
                <w:rFonts w:hint="eastAsia" w:ascii="宋体" w:hAnsi="宋体" w:cs="宋体"/>
                <w:b/>
                <w:bCs/>
                <w:kern w:val="1"/>
                <w:szCs w:val="21"/>
              </w:rPr>
              <w:t>评 分 标 准</w:t>
            </w:r>
          </w:p>
        </w:tc>
      </w:tr>
      <w:tr w14:paraId="13AC8CA4">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1732" w:hRule="atLeast"/>
        </w:trPr>
        <w:tc>
          <w:tcPr>
            <w:tcW w:w="900" w:type="dxa"/>
            <w:noWrap w:val="0"/>
            <w:tcMar>
              <w:left w:w="108" w:type="dxa"/>
              <w:right w:w="108" w:type="dxa"/>
            </w:tcMar>
            <w:vAlign w:val="center"/>
          </w:tcPr>
          <w:p w14:paraId="3E0A2EC5">
            <w:pPr>
              <w:spacing w:line="360" w:lineRule="auto"/>
              <w:jc w:val="center"/>
              <w:rPr>
                <w:rFonts w:hint="eastAsia" w:ascii="宋体" w:hAnsi="宋体" w:cs="宋体"/>
                <w:kern w:val="1"/>
                <w:szCs w:val="21"/>
              </w:rPr>
            </w:pPr>
            <w:r>
              <w:rPr>
                <w:rFonts w:hint="eastAsia" w:ascii="宋体" w:hAnsi="宋体" w:cs="宋体"/>
                <w:kern w:val="1"/>
                <w:szCs w:val="21"/>
              </w:rPr>
              <w:t>1</w:t>
            </w:r>
          </w:p>
        </w:tc>
        <w:tc>
          <w:tcPr>
            <w:tcW w:w="1545" w:type="dxa"/>
            <w:noWrap w:val="0"/>
            <w:vAlign w:val="center"/>
          </w:tcPr>
          <w:p w14:paraId="7789306C">
            <w:pPr>
              <w:spacing w:line="360" w:lineRule="auto"/>
              <w:jc w:val="center"/>
              <w:rPr>
                <w:rFonts w:hint="eastAsia" w:ascii="宋体" w:hAnsi="宋体" w:cs="宋体"/>
                <w:kern w:val="1"/>
                <w:szCs w:val="21"/>
              </w:rPr>
            </w:pPr>
            <w:r>
              <w:rPr>
                <w:rFonts w:hint="eastAsia" w:ascii="宋体" w:hAnsi="宋体" w:cs="宋体"/>
                <w:kern w:val="1"/>
                <w:szCs w:val="21"/>
              </w:rPr>
              <w:t>报价</w:t>
            </w:r>
          </w:p>
        </w:tc>
        <w:tc>
          <w:tcPr>
            <w:tcW w:w="993" w:type="dxa"/>
            <w:noWrap w:val="0"/>
            <w:vAlign w:val="center"/>
          </w:tcPr>
          <w:p w14:paraId="1DBFE5BE">
            <w:pPr>
              <w:spacing w:line="360" w:lineRule="auto"/>
              <w:jc w:val="center"/>
              <w:rPr>
                <w:rFonts w:hint="eastAsia" w:ascii="宋体" w:hAnsi="宋体" w:cs="宋体"/>
                <w:kern w:val="1"/>
                <w:szCs w:val="21"/>
              </w:rPr>
            </w:pPr>
            <w:r>
              <w:rPr>
                <w:rFonts w:hint="eastAsia" w:ascii="宋体" w:hAnsi="宋体" w:cs="宋体"/>
                <w:kern w:val="1"/>
                <w:szCs w:val="21"/>
                <w:lang w:val="en-US" w:eastAsia="zh-CN"/>
              </w:rPr>
              <w:t>5</w:t>
            </w:r>
            <w:r>
              <w:rPr>
                <w:rFonts w:hint="eastAsia" w:ascii="宋体" w:hAnsi="宋体" w:cs="宋体"/>
                <w:kern w:val="1"/>
                <w:szCs w:val="21"/>
              </w:rPr>
              <w:t>0分</w:t>
            </w:r>
          </w:p>
        </w:tc>
        <w:tc>
          <w:tcPr>
            <w:tcW w:w="6192" w:type="dxa"/>
            <w:noWrap w:val="0"/>
            <w:vAlign w:val="center"/>
          </w:tcPr>
          <w:p w14:paraId="7A8A65D0">
            <w:pPr>
              <w:spacing w:line="360" w:lineRule="auto"/>
              <w:ind w:firstLine="420" w:firstLineChars="200"/>
              <w:jc w:val="left"/>
              <w:rPr>
                <w:rFonts w:hint="eastAsia" w:ascii="宋体" w:hAnsi="宋体" w:cs="宋体"/>
                <w:kern w:val="1"/>
                <w:szCs w:val="21"/>
                <w:lang w:val="en-US" w:eastAsia="zh-CN"/>
              </w:rPr>
            </w:pPr>
            <w:r>
              <w:rPr>
                <w:rFonts w:hint="eastAsia" w:ascii="宋体" w:hAnsi="宋体" w:cs="宋体"/>
                <w:kern w:val="1"/>
                <w:szCs w:val="21"/>
                <w:lang w:val="en-US" w:eastAsia="zh-CN"/>
              </w:rPr>
              <w:t>1、满足本项目服务要求文件的各投标人最终投标价的算术平均值为基准价，基准分50分。</w:t>
            </w:r>
          </w:p>
          <w:p w14:paraId="6765DFC0">
            <w:pPr>
              <w:spacing w:line="360" w:lineRule="auto"/>
              <w:ind w:firstLine="420" w:firstLineChars="200"/>
              <w:jc w:val="left"/>
              <w:rPr>
                <w:rFonts w:hint="eastAsia" w:ascii="宋体" w:hAnsi="宋体" w:cs="宋体"/>
                <w:kern w:val="1"/>
                <w:szCs w:val="21"/>
              </w:rPr>
            </w:pPr>
            <w:r>
              <w:rPr>
                <w:rFonts w:hint="eastAsia" w:ascii="宋体" w:hAnsi="宋体" w:cs="宋体"/>
                <w:kern w:val="1"/>
                <w:szCs w:val="21"/>
                <w:lang w:val="en-US" w:eastAsia="zh-CN"/>
              </w:rPr>
              <w:t>2、投标报价与基准价相比，每高1%扣1分，最多扣10分；每低1%扣0.5分，最高扣10分，不足1%的按四舍五入计算。</w:t>
            </w:r>
          </w:p>
        </w:tc>
      </w:tr>
      <w:tr w14:paraId="2796457E">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1283" w:hRule="atLeast"/>
        </w:trPr>
        <w:tc>
          <w:tcPr>
            <w:tcW w:w="900" w:type="dxa"/>
            <w:noWrap w:val="0"/>
            <w:tcMar>
              <w:left w:w="108" w:type="dxa"/>
              <w:right w:w="108" w:type="dxa"/>
            </w:tcMar>
            <w:vAlign w:val="center"/>
          </w:tcPr>
          <w:p w14:paraId="510F3BC7">
            <w:pPr>
              <w:spacing w:line="360" w:lineRule="auto"/>
              <w:jc w:val="center"/>
              <w:rPr>
                <w:rFonts w:hint="eastAsia" w:ascii="宋体" w:hAnsi="宋体" w:cs="宋体" w:eastAsiaTheme="minorEastAsia"/>
                <w:kern w:val="1"/>
                <w:szCs w:val="21"/>
                <w:lang w:eastAsia="zh-CN"/>
              </w:rPr>
            </w:pPr>
            <w:r>
              <w:rPr>
                <w:rFonts w:hint="eastAsia" w:ascii="宋体" w:hAnsi="宋体" w:cs="宋体"/>
                <w:kern w:val="1"/>
                <w:szCs w:val="21"/>
                <w:lang w:val="en-US" w:eastAsia="zh-CN"/>
              </w:rPr>
              <w:t>2</w:t>
            </w:r>
          </w:p>
        </w:tc>
        <w:tc>
          <w:tcPr>
            <w:tcW w:w="1545" w:type="dxa"/>
            <w:noWrap w:val="0"/>
            <w:vAlign w:val="center"/>
          </w:tcPr>
          <w:p w14:paraId="59A62402">
            <w:pPr>
              <w:spacing w:line="360" w:lineRule="auto"/>
              <w:jc w:val="center"/>
              <w:rPr>
                <w:rFonts w:hint="eastAsia" w:ascii="宋体" w:hAnsi="宋体" w:cs="宋体"/>
                <w:kern w:val="1"/>
                <w:szCs w:val="21"/>
                <w:lang w:eastAsia="zh-CN"/>
              </w:rPr>
            </w:pPr>
            <w:r>
              <w:rPr>
                <w:rFonts w:hint="eastAsia" w:ascii="宋体" w:hAnsi="宋体" w:cs="宋体"/>
                <w:kern w:val="1"/>
                <w:szCs w:val="21"/>
                <w:lang w:val="en-US" w:eastAsia="zh-CN"/>
              </w:rPr>
              <w:t>设计方案</w:t>
            </w:r>
          </w:p>
        </w:tc>
        <w:tc>
          <w:tcPr>
            <w:tcW w:w="993" w:type="dxa"/>
            <w:noWrap w:val="0"/>
            <w:vAlign w:val="center"/>
          </w:tcPr>
          <w:p w14:paraId="2BC381FC">
            <w:pPr>
              <w:spacing w:line="360" w:lineRule="auto"/>
              <w:jc w:val="center"/>
              <w:rPr>
                <w:rFonts w:hint="eastAsia" w:ascii="宋体" w:hAnsi="宋体" w:cs="宋体"/>
                <w:kern w:val="1"/>
                <w:szCs w:val="21"/>
              </w:rPr>
            </w:pPr>
            <w:r>
              <w:rPr>
                <w:rFonts w:hint="eastAsia" w:ascii="宋体" w:hAnsi="宋体" w:cs="宋体"/>
                <w:kern w:val="1"/>
                <w:szCs w:val="21"/>
                <w:lang w:val="en-US" w:eastAsia="zh-CN"/>
              </w:rPr>
              <w:t>40</w:t>
            </w:r>
            <w:r>
              <w:rPr>
                <w:rFonts w:hint="eastAsia" w:ascii="宋体" w:hAnsi="宋体" w:cs="宋体"/>
                <w:kern w:val="1"/>
                <w:szCs w:val="21"/>
              </w:rPr>
              <w:t>分</w:t>
            </w:r>
          </w:p>
        </w:tc>
        <w:tc>
          <w:tcPr>
            <w:tcW w:w="6192" w:type="dxa"/>
            <w:noWrap w:val="0"/>
            <w:vAlign w:val="center"/>
          </w:tcPr>
          <w:p w14:paraId="55EAF24F">
            <w:pPr>
              <w:spacing w:line="360" w:lineRule="auto"/>
              <w:ind w:firstLine="420" w:firstLineChars="200"/>
              <w:jc w:val="left"/>
              <w:rPr>
                <w:rFonts w:hint="eastAsia"/>
                <w:lang w:eastAsia="zh-CN"/>
              </w:rPr>
            </w:pPr>
            <w:r>
              <w:rPr>
                <w:rFonts w:hint="eastAsia"/>
              </w:rPr>
              <w:t>对</w:t>
            </w:r>
            <w:r>
              <w:rPr>
                <w:rFonts w:hint="eastAsia"/>
                <w:lang w:val="en-US" w:eastAsia="zh-CN"/>
              </w:rPr>
              <w:t>投标人</w:t>
            </w:r>
            <w:r>
              <w:rPr>
                <w:rFonts w:hint="eastAsia"/>
                <w:lang w:eastAsia="zh-CN"/>
              </w:rPr>
              <w:t>的设计</w:t>
            </w:r>
            <w:r>
              <w:rPr>
                <w:rFonts w:hint="eastAsia"/>
                <w:lang w:val="en-US" w:eastAsia="zh-CN"/>
              </w:rPr>
              <w:t>方案</w:t>
            </w:r>
            <w:r>
              <w:rPr>
                <w:rFonts w:hint="eastAsia"/>
              </w:rPr>
              <w:t>（</w:t>
            </w:r>
            <w:r>
              <w:rPr>
                <w:rFonts w:hint="eastAsia"/>
                <w:lang w:val="en-US" w:eastAsia="zh-CN"/>
              </w:rPr>
              <w:t>包装设计的包装</w:t>
            </w:r>
            <w:r>
              <w:rPr>
                <w:rFonts w:hint="eastAsia"/>
              </w:rPr>
              <w:t>结构</w:t>
            </w:r>
            <w:r>
              <w:rPr>
                <w:rFonts w:hint="eastAsia"/>
                <w:lang w:eastAsia="zh-CN"/>
              </w:rPr>
              <w:t>、</w:t>
            </w:r>
            <w:r>
              <w:rPr>
                <w:rFonts w:hint="eastAsia"/>
              </w:rPr>
              <w:t>概括力</w:t>
            </w:r>
            <w:r>
              <w:rPr>
                <w:rFonts w:hint="eastAsia"/>
                <w:lang w:eastAsia="zh-CN"/>
              </w:rPr>
              <w:t>、可操作性、</w:t>
            </w:r>
            <w:r>
              <w:rPr>
                <w:rFonts w:hint="eastAsia"/>
              </w:rPr>
              <w:t>设计释义</w:t>
            </w:r>
            <w:r>
              <w:rPr>
                <w:rFonts w:hint="eastAsia"/>
                <w:lang w:eastAsia="zh-CN"/>
              </w:rPr>
              <w:t>、</w:t>
            </w:r>
            <w:r>
              <w:rPr>
                <w:rFonts w:hint="eastAsia"/>
                <w:lang w:val="en-US" w:eastAsia="zh-CN"/>
              </w:rPr>
              <w:t>设计风格与消费者偏好关联性）</w:t>
            </w:r>
            <w:r>
              <w:rPr>
                <w:rFonts w:hint="eastAsia"/>
              </w:rPr>
              <w:t>进行综合比较评分</w:t>
            </w:r>
            <w:r>
              <w:rPr>
                <w:rFonts w:hint="eastAsia"/>
                <w:lang w:eastAsia="zh-CN"/>
              </w:rPr>
              <w:t>，</w:t>
            </w:r>
            <w:r>
              <w:rPr>
                <w:rFonts w:hint="eastAsia"/>
              </w:rPr>
              <w:t>第一名得</w:t>
            </w:r>
            <w:r>
              <w:rPr>
                <w:rFonts w:hint="eastAsia"/>
                <w:lang w:val="en-US" w:eastAsia="zh-CN"/>
              </w:rPr>
              <w:t>40</w:t>
            </w:r>
            <w:r>
              <w:rPr>
                <w:rFonts w:hint="eastAsia"/>
              </w:rPr>
              <w:t>分，第二名得</w:t>
            </w:r>
            <w:r>
              <w:rPr>
                <w:rFonts w:hint="eastAsia"/>
                <w:lang w:val="en-US" w:eastAsia="zh-CN"/>
              </w:rPr>
              <w:t>30</w:t>
            </w:r>
            <w:r>
              <w:rPr>
                <w:rFonts w:hint="eastAsia"/>
              </w:rPr>
              <w:t>分，第三名得</w:t>
            </w:r>
            <w:r>
              <w:rPr>
                <w:rFonts w:hint="eastAsia"/>
                <w:lang w:val="en-US" w:eastAsia="zh-CN"/>
              </w:rPr>
              <w:t>20</w:t>
            </w:r>
            <w:r>
              <w:rPr>
                <w:rFonts w:hint="eastAsia"/>
              </w:rPr>
              <w:t>分，可并列得分</w:t>
            </w:r>
          </w:p>
        </w:tc>
      </w:tr>
      <w:tr w14:paraId="34E93CCC">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2303" w:hRule="atLeast"/>
        </w:trPr>
        <w:tc>
          <w:tcPr>
            <w:tcW w:w="900" w:type="dxa"/>
            <w:noWrap w:val="0"/>
            <w:tcMar>
              <w:left w:w="108" w:type="dxa"/>
              <w:right w:w="108" w:type="dxa"/>
            </w:tcMar>
            <w:vAlign w:val="center"/>
          </w:tcPr>
          <w:p w14:paraId="08D1DEDE">
            <w:pPr>
              <w:spacing w:line="360" w:lineRule="auto"/>
              <w:jc w:val="center"/>
              <w:rPr>
                <w:rFonts w:hint="eastAsia" w:ascii="宋体" w:hAnsi="宋体" w:cs="宋体" w:eastAsiaTheme="minorEastAsia"/>
                <w:kern w:val="1"/>
                <w:szCs w:val="21"/>
                <w:lang w:eastAsia="zh-CN"/>
              </w:rPr>
            </w:pPr>
            <w:r>
              <w:rPr>
                <w:rFonts w:hint="eastAsia" w:ascii="宋体" w:hAnsi="宋体" w:cs="宋体"/>
                <w:kern w:val="1"/>
                <w:szCs w:val="21"/>
                <w:lang w:val="en-US" w:eastAsia="zh-CN"/>
              </w:rPr>
              <w:t>3</w:t>
            </w:r>
          </w:p>
        </w:tc>
        <w:tc>
          <w:tcPr>
            <w:tcW w:w="1545" w:type="dxa"/>
            <w:noWrap w:val="0"/>
            <w:vAlign w:val="center"/>
          </w:tcPr>
          <w:p w14:paraId="2C9963C8">
            <w:pPr>
              <w:spacing w:line="360" w:lineRule="auto"/>
              <w:jc w:val="center"/>
              <w:rPr>
                <w:rFonts w:hint="eastAsia" w:ascii="宋体" w:hAnsi="宋体" w:cs="宋体"/>
                <w:kern w:val="1"/>
                <w:szCs w:val="21"/>
              </w:rPr>
            </w:pPr>
            <w:r>
              <w:rPr>
                <w:rFonts w:hint="eastAsia" w:ascii="宋体" w:hAnsi="宋体" w:cs="宋体"/>
                <w:kern w:val="1"/>
                <w:szCs w:val="21"/>
              </w:rPr>
              <w:t>类似业绩</w:t>
            </w:r>
          </w:p>
        </w:tc>
        <w:tc>
          <w:tcPr>
            <w:tcW w:w="993" w:type="dxa"/>
            <w:noWrap w:val="0"/>
            <w:vAlign w:val="center"/>
          </w:tcPr>
          <w:p w14:paraId="5E3E3D62">
            <w:pPr>
              <w:spacing w:line="360" w:lineRule="auto"/>
              <w:jc w:val="center"/>
              <w:rPr>
                <w:rFonts w:hint="eastAsia" w:ascii="宋体" w:hAnsi="宋体" w:cs="宋体"/>
                <w:kern w:val="1"/>
                <w:szCs w:val="21"/>
              </w:rPr>
            </w:pPr>
            <w:r>
              <w:rPr>
                <w:rFonts w:hint="eastAsia" w:ascii="宋体" w:hAnsi="宋体" w:cs="宋体"/>
                <w:kern w:val="1"/>
                <w:szCs w:val="21"/>
                <w:lang w:val="en-US" w:eastAsia="zh-CN"/>
              </w:rPr>
              <w:t>10</w:t>
            </w:r>
            <w:r>
              <w:rPr>
                <w:rFonts w:hint="eastAsia" w:ascii="宋体" w:hAnsi="宋体" w:cs="宋体"/>
                <w:kern w:val="1"/>
                <w:szCs w:val="21"/>
              </w:rPr>
              <w:t>分</w:t>
            </w:r>
          </w:p>
        </w:tc>
        <w:tc>
          <w:tcPr>
            <w:tcW w:w="6192" w:type="dxa"/>
            <w:noWrap w:val="0"/>
            <w:vAlign w:val="center"/>
          </w:tcPr>
          <w:p w14:paraId="33A61FD5">
            <w:pPr>
              <w:spacing w:line="360" w:lineRule="auto"/>
              <w:ind w:firstLine="420" w:firstLineChars="200"/>
              <w:jc w:val="left"/>
              <w:rPr>
                <w:rFonts w:hint="eastAsia" w:ascii="宋体" w:hAnsi="宋体" w:cs="宋体"/>
                <w:kern w:val="1"/>
                <w:szCs w:val="21"/>
              </w:rPr>
            </w:pPr>
            <w:r>
              <w:rPr>
                <w:rFonts w:hint="eastAsia" w:ascii="宋体" w:hAnsi="宋体" w:cs="宋体"/>
                <w:kern w:val="1"/>
                <w:szCs w:val="21"/>
                <w:lang w:val="en-US" w:eastAsia="zh-CN"/>
              </w:rPr>
              <w:t>投标人</w:t>
            </w:r>
            <w:r>
              <w:rPr>
                <w:rFonts w:hint="eastAsia" w:ascii="宋体" w:hAnsi="宋体" w:cs="宋体"/>
                <w:kern w:val="1"/>
                <w:szCs w:val="21"/>
              </w:rPr>
              <w:t>20</w:t>
            </w:r>
            <w:r>
              <w:rPr>
                <w:rFonts w:hint="eastAsia" w:ascii="宋体" w:hAnsi="宋体" w:cs="宋体"/>
                <w:kern w:val="1"/>
                <w:szCs w:val="21"/>
                <w:lang w:val="en-US" w:eastAsia="zh-CN"/>
              </w:rPr>
              <w:t>21</w:t>
            </w:r>
            <w:bookmarkStart w:id="0" w:name="_GoBack"/>
            <w:bookmarkEnd w:id="0"/>
            <w:r>
              <w:rPr>
                <w:rFonts w:hint="eastAsia" w:ascii="宋体" w:hAnsi="宋体" w:cs="宋体"/>
                <w:kern w:val="1"/>
                <w:szCs w:val="21"/>
              </w:rPr>
              <w:t>年以来，具有</w:t>
            </w:r>
            <w:r>
              <w:rPr>
                <w:rFonts w:hint="eastAsia" w:ascii="宋体" w:hAnsi="宋体" w:cs="宋体"/>
                <w:kern w:val="1"/>
                <w:szCs w:val="21"/>
                <w:lang w:val="en-US" w:eastAsia="zh-CN"/>
              </w:rPr>
              <w:t>食品行业产品包装成功案例合同不低于三份（复印件）</w:t>
            </w:r>
            <w:r>
              <w:rPr>
                <w:rFonts w:hint="eastAsia" w:ascii="宋体" w:hAnsi="宋体" w:cs="宋体"/>
                <w:kern w:val="1"/>
                <w:szCs w:val="21"/>
              </w:rPr>
              <w:t>每</w:t>
            </w:r>
            <w:r>
              <w:rPr>
                <w:rFonts w:hint="eastAsia" w:ascii="宋体" w:hAnsi="宋体" w:cs="宋体"/>
                <w:kern w:val="1"/>
                <w:szCs w:val="21"/>
                <w:lang w:eastAsia="zh-CN"/>
              </w:rPr>
              <w:t>多</w:t>
            </w:r>
            <w:r>
              <w:rPr>
                <w:rFonts w:hint="eastAsia" w:ascii="宋体" w:hAnsi="宋体" w:cs="宋体"/>
                <w:kern w:val="1"/>
                <w:szCs w:val="21"/>
              </w:rPr>
              <w:t>提供1个得</w:t>
            </w:r>
            <w:r>
              <w:rPr>
                <w:rFonts w:hint="eastAsia" w:ascii="宋体" w:hAnsi="宋体" w:cs="宋体"/>
                <w:kern w:val="1"/>
                <w:szCs w:val="21"/>
                <w:lang w:val="en-US" w:eastAsia="zh-CN"/>
              </w:rPr>
              <w:t>5</w:t>
            </w:r>
            <w:r>
              <w:rPr>
                <w:rFonts w:hint="eastAsia" w:ascii="宋体" w:hAnsi="宋体" w:cs="宋体"/>
                <w:kern w:val="1"/>
                <w:szCs w:val="21"/>
              </w:rPr>
              <w:t>分，最多得</w:t>
            </w:r>
            <w:r>
              <w:rPr>
                <w:rFonts w:hint="eastAsia" w:ascii="宋体" w:hAnsi="宋体" w:cs="宋体"/>
                <w:kern w:val="1"/>
                <w:szCs w:val="21"/>
                <w:lang w:val="en-US" w:eastAsia="zh-CN"/>
              </w:rPr>
              <w:t>10</w:t>
            </w:r>
            <w:r>
              <w:rPr>
                <w:rFonts w:hint="eastAsia" w:ascii="宋体" w:hAnsi="宋体" w:cs="宋体"/>
                <w:kern w:val="1"/>
                <w:szCs w:val="21"/>
              </w:rPr>
              <w:t>分。</w:t>
            </w:r>
          </w:p>
          <w:p w14:paraId="65BA54E6">
            <w:pPr>
              <w:spacing w:line="360" w:lineRule="auto"/>
              <w:ind w:firstLine="420" w:firstLineChars="200"/>
              <w:jc w:val="left"/>
              <w:rPr>
                <w:rFonts w:hint="eastAsia" w:ascii="宋体" w:hAnsi="宋体" w:cs="宋体"/>
                <w:kern w:val="1"/>
                <w:szCs w:val="21"/>
              </w:rPr>
            </w:pPr>
            <w:r>
              <w:rPr>
                <w:rFonts w:hint="eastAsia" w:ascii="宋体" w:hAnsi="宋体" w:cs="宋体"/>
                <w:kern w:val="1"/>
                <w:szCs w:val="21"/>
              </w:rPr>
              <w:t>注：业绩证明需提供合同复印件及</w:t>
            </w:r>
            <w:r>
              <w:rPr>
                <w:rFonts w:hint="eastAsia" w:ascii="宋体" w:hAnsi="宋体" w:cs="宋体"/>
                <w:kern w:val="1"/>
                <w:szCs w:val="21"/>
                <w:lang w:val="en-US" w:eastAsia="zh-CN"/>
              </w:rPr>
              <w:t>合同相对应发票</w:t>
            </w:r>
            <w:r>
              <w:rPr>
                <w:rFonts w:hint="eastAsia" w:ascii="宋体" w:hAnsi="宋体" w:cs="宋体"/>
                <w:kern w:val="1"/>
                <w:szCs w:val="21"/>
              </w:rPr>
              <w:t>并加盖比选</w:t>
            </w:r>
            <w:r>
              <w:rPr>
                <w:rFonts w:hint="eastAsia" w:ascii="宋体" w:hAnsi="宋体" w:cs="宋体"/>
                <w:kern w:val="1"/>
                <w:szCs w:val="21"/>
                <w:lang w:val="en-US" w:eastAsia="zh-CN"/>
              </w:rPr>
              <w:t>投标</w:t>
            </w:r>
            <w:r>
              <w:rPr>
                <w:rFonts w:hint="eastAsia" w:ascii="宋体" w:hAnsi="宋体" w:cs="宋体"/>
                <w:kern w:val="1"/>
                <w:szCs w:val="21"/>
              </w:rPr>
              <w:t>人鲜章，未提供不得分。</w:t>
            </w:r>
          </w:p>
        </w:tc>
      </w:tr>
    </w:tbl>
    <w:p w14:paraId="043E90D1">
      <w:pPr>
        <w:pStyle w:val="4"/>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M2RlYTRmOTVkNTg2NDM0M2I5ZmMyZjUzMmJmMzYifQ=="/>
  </w:docVars>
  <w:rsids>
    <w:rsidRoot w:val="42DD78C9"/>
    <w:rsid w:val="03E0478D"/>
    <w:rsid w:val="0EE143CD"/>
    <w:rsid w:val="100A5B41"/>
    <w:rsid w:val="102C47A7"/>
    <w:rsid w:val="109F552D"/>
    <w:rsid w:val="1F114BF6"/>
    <w:rsid w:val="23FA42E6"/>
    <w:rsid w:val="2CC6515A"/>
    <w:rsid w:val="401B7113"/>
    <w:rsid w:val="42DD78C9"/>
    <w:rsid w:val="72C53632"/>
    <w:rsid w:val="79AA4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0"/>
    </w:rPr>
  </w:style>
  <w:style w:type="paragraph" w:styleId="3">
    <w:name w:val="Subtitle"/>
    <w:basedOn w:val="1"/>
    <w:next w:val="1"/>
    <w:qFormat/>
    <w:uiPriority w:val="0"/>
    <w:pPr>
      <w:spacing w:line="312" w:lineRule="auto"/>
      <w:jc w:val="left"/>
      <w:outlineLvl w:val="1"/>
    </w:pPr>
    <w:rPr>
      <w:rFonts w:ascii="Cambria" w:hAnsi="Cambria"/>
      <w:b/>
      <w:bCs/>
      <w:kern w:val="28"/>
      <w:sz w:val="21"/>
      <w:szCs w:val="32"/>
    </w:rPr>
  </w:style>
  <w:style w:type="paragraph" w:styleId="4">
    <w:name w:val="Plain Text"/>
    <w:basedOn w:val="1"/>
    <w:qFormat/>
    <w:uiPriority w:val="0"/>
    <w:pPr>
      <w:autoSpaceDE w:val="0"/>
      <w:autoSpaceDN w:val="0"/>
      <w:adjustRightInd w:val="0"/>
    </w:pPr>
    <w:rPr>
      <w:rFonts w:hAnsi="Tms Rm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313</Words>
  <Characters>334</Characters>
  <Lines>0</Lines>
  <Paragraphs>0</Paragraphs>
  <TotalTime>0</TotalTime>
  <ScaleCrop>false</ScaleCrop>
  <LinksUpToDate>false</LinksUpToDate>
  <CharactersWithSpaces>339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2022-06-20T11:58:00Z</dcterms:created>
  <dc:creator>tangee3</dc:creator>
  <cp:lastModifiedBy>燕尾蝶</cp:lastModifiedBy>
  <dcterms:modified xsi:type="dcterms:W3CDTF">2024-11-14T08:50:55Z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4AADF81EFDC34778B451013FC335A8CA_13</vt:lpwstr>
  </property>
</Properties>
</file>